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18F7BC8F"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261C40">
        <w:rPr>
          <w:rFonts w:ascii="ＭＳ Ｐゴシック" w:eastAsia="ＭＳ Ｐゴシック" w:hAnsi="ＭＳ Ｐゴシック"/>
          <w:sz w:val="18"/>
          <w:szCs w:val="18"/>
          <w:bdr w:val="single" w:sz="4" w:space="0" w:color="auto"/>
        </w:rPr>
        <w:t>8</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1595FF20"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006C7DB4">
        <w:rPr>
          <w:rFonts w:ascii="ＭＳ Ｐゴシック" w:eastAsia="ＭＳ Ｐゴシック" w:hAnsi="ＭＳ Ｐゴシック"/>
          <w:sz w:val="20"/>
          <w:szCs w:val="20"/>
        </w:rPr>
        <w:t>Essence</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w:t>
      </w:r>
      <w:r w:rsidR="00261C40">
        <w:rPr>
          <w:rFonts w:ascii="ＭＳ Ｐゴシック" w:eastAsia="ＭＳ Ｐゴシック" w:hAnsi="ＭＳ Ｐゴシック"/>
          <w:sz w:val="20"/>
          <w:szCs w:val="20"/>
        </w:rPr>
        <w:t>002-904</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92A8E">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263AA0"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16DFBD48" w14:textId="612C5BA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基礎的・基本的な事項を過不足なく取り上げ，例・例題を参考にすれば問題が解ける，問題を解くことによって数学的な思考力・表現力が育成されるなど，学習者の意欲を喚起するように編集が工夫されている。</w:t>
            </w:r>
          </w:p>
          <w:p w14:paraId="206D2091" w14:textId="694CB7A5"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●各項の冒頭に「ねらい」，例の前には何のための問題なのかを明記する一文を設け，目的意識をもって学習に取り組めるように配慮されている。</w:t>
            </w:r>
          </w:p>
          <w:p w14:paraId="15871100" w14:textId="67F0BE2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●各ページ右段に，その問題を解くために必要な公式，知識，注意すべき内容を取り上げた「側注」を設け，基礎的・基本的な知識や技能が確実に定着するように工夫されている。</w:t>
            </w:r>
          </w:p>
          <w:p w14:paraId="79A3FAEC" w14:textId="0FBEF166"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で扱っている内容は基本的なものであり，基礎・基本の徹底が図られている。また，節末ごとに定着確認のための問題を設けている。さらに，本文の問の側注部分に節末問題へのリンクマークが付され，追加問題が扱いやすくなるように工夫されている。</w:t>
            </w:r>
          </w:p>
          <w:p w14:paraId="22DE2C58" w14:textId="10295818"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●活動的に取り組む問題をActとして設け，新規内容を理解する場面や，学習した知識・技能を利用する場面に，生徒が能動的に思考・判断・表現する場を設けている。</w:t>
            </w:r>
          </w:p>
          <w:p w14:paraId="4057E224" w14:textId="03180F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「数と式」では，</w:t>
            </w:r>
            <w:r w:rsidR="00C67929">
              <w:rPr>
                <w:rFonts w:ascii="ＭＳ 明朝" w:eastAsia="ＭＳ 明朝" w:hAnsi="ＭＳ 明朝" w:cs="Adobe Song Std L"/>
                <w:color w:val="000000" w:themeColor="text1"/>
                <w:szCs w:val="21"/>
              </w:rPr>
              <w:t>因数分解のたすきがけの方法で</w:t>
            </w:r>
            <w:r w:rsidRPr="00263AA0">
              <w:rPr>
                <w:rFonts w:ascii="ＭＳ 明朝" w:eastAsia="ＭＳ 明朝" w:hAnsi="ＭＳ 明朝" w:cs="Adobe Song Std L"/>
                <w:color w:val="000000" w:themeColor="text1"/>
                <w:szCs w:val="21"/>
              </w:rPr>
              <w:t>，3パターンの失敗例を取り上げ，注</w:t>
            </w:r>
            <w:r w:rsidR="00C67929">
              <w:rPr>
                <w:rFonts w:ascii="ＭＳ 明朝" w:eastAsia="ＭＳ 明朝" w:hAnsi="ＭＳ 明朝" w:cs="Adobe Song Std L"/>
                <w:color w:val="000000" w:themeColor="text1"/>
                <w:szCs w:val="21"/>
              </w:rPr>
              <w:t>意を喚起するように編集されている（</w:t>
            </w:r>
            <w:r w:rsidRPr="00263AA0">
              <w:rPr>
                <w:rFonts w:ascii="ＭＳ 明朝" w:eastAsia="ＭＳ 明朝" w:hAnsi="ＭＳ 明朝" w:cs="Adobe Song Std L"/>
                <w:color w:val="000000" w:themeColor="text1"/>
                <w:szCs w:val="21"/>
              </w:rPr>
              <w:t>p.21）。</w:t>
            </w:r>
          </w:p>
          <w:p w14:paraId="36BB6F98" w14:textId="008C921F" w:rsidR="00C67929" w:rsidRPr="00263AA0" w:rsidRDefault="00C67929" w:rsidP="00C67929">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「2次関数」では，平方完成で，2次関数の式の係数によって4つの型に分け</w:t>
            </w:r>
            <w:r w:rsidR="00F22CF7">
              <w:rPr>
                <w:rFonts w:ascii="ＭＳ 明朝" w:eastAsia="ＭＳ 明朝" w:hAnsi="ＭＳ 明朝" w:cs="Adobe Song Std L" w:hint="eastAsia"/>
                <w:color w:val="000000" w:themeColor="text1"/>
                <w:szCs w:val="21"/>
              </w:rPr>
              <w:t>，型別に例と穴埋めの問題を設ける構成にして，丁寧に扱われている</w:t>
            </w:r>
            <w:r w:rsidRPr="00263AA0">
              <w:rPr>
                <w:rFonts w:ascii="ＭＳ 明朝" w:eastAsia="ＭＳ 明朝" w:hAnsi="ＭＳ 明朝" w:cs="Adobe Song Std L"/>
                <w:color w:val="000000" w:themeColor="text1"/>
                <w:szCs w:val="21"/>
              </w:rPr>
              <w:t>（p.</w:t>
            </w:r>
            <w:r>
              <w:rPr>
                <w:rFonts w:ascii="ＭＳ 明朝" w:eastAsia="ＭＳ 明朝" w:hAnsi="ＭＳ 明朝" w:cs="Adobe Song Std L"/>
                <w:color w:val="000000" w:themeColor="text1"/>
                <w:szCs w:val="21"/>
              </w:rPr>
              <w:t>74</w:t>
            </w:r>
            <w:r w:rsidRPr="00263AA0">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75</w:t>
            </w:r>
            <w:r w:rsidRPr="00263AA0">
              <w:rPr>
                <w:rFonts w:ascii="ＭＳ 明朝" w:eastAsia="ＭＳ 明朝" w:hAnsi="ＭＳ 明朝" w:cs="Adobe Song Std L"/>
                <w:color w:val="000000" w:themeColor="text1"/>
                <w:szCs w:val="21"/>
              </w:rPr>
              <w:t>）</w:t>
            </w:r>
            <w:r w:rsidR="00F22CF7">
              <w:rPr>
                <w:rFonts w:ascii="ＭＳ 明朝" w:eastAsia="ＭＳ 明朝" w:hAnsi="ＭＳ 明朝" w:cs="Adobe Song Std L" w:hint="eastAsia"/>
                <w:color w:val="000000" w:themeColor="text1"/>
                <w:szCs w:val="21"/>
              </w:rPr>
              <w:t>。</w:t>
            </w:r>
          </w:p>
          <w:p w14:paraId="068B656F" w14:textId="74C4599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「三角比」では，</w:t>
            </w:r>
            <w:r w:rsidR="00C67929">
              <w:rPr>
                <w:rFonts w:ascii="ＭＳ 明朝" w:eastAsia="ＭＳ 明朝" w:hAnsi="ＭＳ 明朝" w:cs="Adobe Song Std L"/>
                <w:color w:val="000000" w:themeColor="text1"/>
                <w:szCs w:val="21"/>
              </w:rPr>
              <w:t>三角比の相互関係で，三平方の定理による解法も，本文で丁寧に扱われている（</w:t>
            </w:r>
            <w:r w:rsidRPr="00263AA0">
              <w:rPr>
                <w:rFonts w:ascii="ＭＳ 明朝" w:eastAsia="ＭＳ 明朝" w:hAnsi="ＭＳ 明朝" w:cs="Adobe Song Std L"/>
                <w:color w:val="000000" w:themeColor="text1"/>
                <w:szCs w:val="21"/>
              </w:rPr>
              <w:t>p.107-108）。</w:t>
            </w:r>
          </w:p>
          <w:p w14:paraId="48D6E20D" w14:textId="6DC459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集合と論証</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では，特に苦手とする生徒が多いため，教科書の後半4章に位置付られている。また</w:t>
            </w:r>
            <w:r w:rsidR="00413AAC">
              <w:rPr>
                <w:rFonts w:ascii="ＭＳ 明朝" w:eastAsia="ＭＳ 明朝" w:hAnsi="ＭＳ 明朝" w:cs="Adobe Song Std L" w:hint="eastAsia"/>
                <w:color w:val="000000" w:themeColor="text1"/>
                <w:szCs w:val="21"/>
              </w:rPr>
              <w:t>，</w:t>
            </w:r>
            <w:r w:rsidR="00C67929">
              <w:rPr>
                <w:rFonts w:ascii="ＭＳ 明朝" w:eastAsia="ＭＳ 明朝" w:hAnsi="ＭＳ 明朝" w:cs="Adobe Song Std L" w:hint="eastAsia"/>
                <w:color w:val="000000" w:themeColor="text1"/>
                <w:szCs w:val="21"/>
              </w:rPr>
              <w:t>難易度の高い内容を扱うことは避けて，基本的な事項が確実に身に付くように配慮されている</w:t>
            </w:r>
            <w:r w:rsidRPr="00263AA0">
              <w:rPr>
                <w:rFonts w:ascii="ＭＳ 明朝" w:eastAsia="ＭＳ 明朝" w:hAnsi="ＭＳ 明朝" w:cs="Adobe Song Std L"/>
                <w:color w:val="000000" w:themeColor="text1"/>
                <w:szCs w:val="21"/>
              </w:rPr>
              <w:t>（p.</w:t>
            </w:r>
            <w:r w:rsidR="00C67929">
              <w:rPr>
                <w:rFonts w:ascii="ＭＳ 明朝" w:eastAsia="ＭＳ 明朝" w:hAnsi="ＭＳ 明朝" w:cs="Adobe Song Std L"/>
                <w:color w:val="000000" w:themeColor="text1"/>
                <w:szCs w:val="21"/>
              </w:rPr>
              <w:t>127</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color w:val="000000" w:themeColor="text1"/>
                <w:szCs w:val="21"/>
              </w:rPr>
              <w:t>144</w:t>
            </w:r>
            <w:r w:rsidRPr="00263AA0">
              <w:rPr>
                <w:rFonts w:ascii="ＭＳ 明朝" w:eastAsia="ＭＳ 明朝" w:hAnsi="ＭＳ 明朝" w:cs="Adobe Song Std L"/>
                <w:color w:val="000000" w:themeColor="text1"/>
                <w:szCs w:val="21"/>
              </w:rPr>
              <w:t>）</w:t>
            </w:r>
            <w:r w:rsidR="00F22CF7">
              <w:rPr>
                <w:rFonts w:ascii="ＭＳ 明朝" w:eastAsia="ＭＳ 明朝" w:hAnsi="ＭＳ 明朝" w:cs="Adobe Song Std L" w:hint="eastAsia"/>
                <w:color w:val="000000" w:themeColor="text1"/>
                <w:szCs w:val="21"/>
              </w:rPr>
              <w:t>。</w:t>
            </w:r>
          </w:p>
          <w:p w14:paraId="17197FF1" w14:textId="5F5C43B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データの分析</w:t>
            </w:r>
            <w:r w:rsidRPr="00263AA0">
              <w:rPr>
                <w:rFonts w:ascii="ＭＳ 明朝" w:eastAsia="ＭＳ 明朝" w:hAnsi="ＭＳ 明朝" w:cs="Adobe Song Std L"/>
                <w:color w:val="000000" w:themeColor="text1"/>
                <w:szCs w:val="21"/>
              </w:rPr>
              <w:t>」</w:t>
            </w:r>
            <w:r w:rsidR="00C67929">
              <w:rPr>
                <w:rFonts w:ascii="ＭＳ 明朝" w:eastAsia="ＭＳ 明朝" w:hAnsi="ＭＳ 明朝" w:cs="Adobe Song Std L" w:hint="eastAsia"/>
                <w:color w:val="000000" w:themeColor="text1"/>
                <w:szCs w:val="21"/>
              </w:rPr>
              <w:t>で</w:t>
            </w:r>
            <w:r w:rsidRPr="00263AA0">
              <w:rPr>
                <w:rFonts w:ascii="ＭＳ 明朝" w:eastAsia="ＭＳ 明朝" w:hAnsi="ＭＳ 明朝" w:cs="Adobe Song Std L"/>
                <w:color w:val="000000" w:themeColor="text1"/>
                <w:szCs w:val="21"/>
              </w:rPr>
              <w:t>は，</w:t>
            </w:r>
            <w:r w:rsidR="005F38D6">
              <w:rPr>
                <w:rFonts w:ascii="ＭＳ 明朝" w:eastAsia="ＭＳ 明朝" w:hAnsi="ＭＳ 明朝" w:cs="Adobe Song Std L" w:hint="eastAsia"/>
                <w:color w:val="000000" w:themeColor="text1"/>
                <w:szCs w:val="21"/>
              </w:rPr>
              <w:t>身近な事物を題材とすることで，データの分析の有用性が感じられるようにされている</w:t>
            </w:r>
            <w:r w:rsidRPr="00263AA0">
              <w:rPr>
                <w:rFonts w:ascii="ＭＳ 明朝" w:eastAsia="ＭＳ 明朝" w:hAnsi="ＭＳ 明朝" w:cs="Adobe Song Std L"/>
                <w:color w:val="000000" w:themeColor="text1"/>
                <w:szCs w:val="21"/>
              </w:rPr>
              <w:t>（p.</w:t>
            </w:r>
            <w:r w:rsidR="005F38D6">
              <w:rPr>
                <w:rFonts w:ascii="ＭＳ 明朝" w:eastAsia="ＭＳ 明朝" w:hAnsi="ＭＳ 明朝" w:cs="Adobe Song Std L"/>
                <w:color w:val="000000" w:themeColor="text1"/>
                <w:szCs w:val="21"/>
              </w:rPr>
              <w:t>146</w:t>
            </w:r>
            <w:r w:rsidRPr="00263AA0">
              <w:rPr>
                <w:rFonts w:ascii="ＭＳ 明朝" w:eastAsia="ＭＳ 明朝" w:hAnsi="ＭＳ 明朝" w:cs="Adobe Song Std L"/>
                <w:color w:val="000000" w:themeColor="text1"/>
                <w:szCs w:val="21"/>
              </w:rPr>
              <w:t>-</w:t>
            </w:r>
            <w:r w:rsidR="005F38D6">
              <w:rPr>
                <w:rFonts w:ascii="ＭＳ 明朝" w:eastAsia="ＭＳ 明朝" w:hAnsi="ＭＳ 明朝" w:cs="Adobe Song Std L"/>
                <w:color w:val="000000" w:themeColor="text1"/>
                <w:szCs w:val="21"/>
              </w:rPr>
              <w:t>162</w:t>
            </w:r>
            <w:r w:rsidRPr="00263AA0">
              <w:rPr>
                <w:rFonts w:ascii="ＭＳ 明朝" w:eastAsia="ＭＳ 明朝" w:hAnsi="ＭＳ 明朝" w:cs="Adobe Song Std L"/>
                <w:color w:val="000000" w:themeColor="text1"/>
                <w:szCs w:val="21"/>
              </w:rPr>
              <w:t>）。</w:t>
            </w:r>
          </w:p>
          <w:p w14:paraId="25E720C2" w14:textId="4702C15D" w:rsidR="00263AA0" w:rsidRPr="00263AA0" w:rsidRDefault="00263AA0" w:rsidP="00F22CF7">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●課題学習は，学習内容と実生活との関連が十分に図られており，生徒の興味・関心を高める数学的活動を重視した課題が扱われている（p.51-52，92，124，163）。</w:t>
            </w:r>
          </w:p>
        </w:tc>
      </w:tr>
      <w:tr w:rsidR="00263AA0" w:rsidRPr="002C0F0A" w14:paraId="02D08B93" w14:textId="72477F84"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50474A58" w14:textId="71CE88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59FBFB18" w14:textId="48B6F7F0"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●章のはじめに，既習事項を確認し，必要に応じて復習できるコーナーがあり，生徒がつまずくことなく章の学習に入ることができるよう工夫されている。</w:t>
            </w:r>
          </w:p>
          <w:p w14:paraId="32DC9B7D" w14:textId="2AB149F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●例・例題の直後の問は，例・例題と同じタイプで数値が変わった程度の問題とし，節末問題も，対応する問の類題とすることで，生徒が問題演習に取り組みやすくなるよう，配慮がされている。</w:t>
            </w:r>
          </w:p>
          <w:p w14:paraId="5445E718" w14:textId="27CD0BB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●やや高度な内容は「Challenge」とし，生徒や学校の実態に応じて臨機応変な取り扱いができるよう編集されている（p.49，78，122，141）。</w:t>
            </w:r>
          </w:p>
          <w:p w14:paraId="63FD2DBD" w14:textId="167FE668" w:rsidR="00263AA0" w:rsidRPr="00263AA0" w:rsidRDefault="00263AA0" w:rsidP="004204C4">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●巻末には，学習内容に関連する中学校での学習内容がコンパクトにまとめられている。</w:t>
            </w:r>
          </w:p>
        </w:tc>
      </w:tr>
      <w:tr w:rsidR="00263AA0"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263AA0" w:rsidRDefault="00263AA0" w:rsidP="00A576FD">
            <w:pPr>
              <w:adjustRightInd w:val="0"/>
              <w:snapToGrid w:val="0"/>
              <w:ind w:leftChars="1000" w:left="2100"/>
              <w:jc w:val="left"/>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263AA0" w:rsidRPr="002C0F0A" w:rsidRDefault="00263AA0" w:rsidP="00A576FD">
            <w:pPr>
              <w:adjustRightInd w:val="0"/>
              <w:snapToGrid w:val="0"/>
              <w:ind w:leftChars="1000" w:left="210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33F0988E" w14:textId="368B075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●全編を通して本文の理解を助けるように，図，イラスト，写真が多用されている。</w:t>
            </w:r>
          </w:p>
          <w:p w14:paraId="30195EF9" w14:textId="0EA60E32"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●色を適切に使い，視覚的に内容理解をサポートするように配慮されている。</w:t>
            </w:r>
          </w:p>
          <w:p w14:paraId="585D32B3" w14:textId="137B495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●用語・記号は統一されており，記述の仕方も適切である。</w:t>
            </w:r>
          </w:p>
          <w:p w14:paraId="0A6ED85E" w14:textId="691F3DB7"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●ICT機器を利用すると効果的な箇所にD</w:t>
            </w:r>
            <w:r w:rsidR="004A11C2">
              <w:rPr>
                <w:rFonts w:ascii="ＭＳ 明朝" w:eastAsia="ＭＳ 明朝" w:hAnsi="ＭＳ 明朝" w:cs="Adobe Song Std L"/>
                <w:color w:val="000000" w:themeColor="text1"/>
                <w:szCs w:val="21"/>
              </w:rPr>
              <w:t>マークをつけ，</w:t>
            </w:r>
            <w:r w:rsidR="004A11C2">
              <w:rPr>
                <w:rFonts w:ascii="ＭＳ 明朝" w:eastAsia="ＭＳ 明朝" w:hAnsi="ＭＳ 明朝" w:cs="Adobe Song Std L" w:hint="eastAsia"/>
                <w:color w:val="000000" w:themeColor="text1"/>
                <w:szCs w:val="21"/>
              </w:rPr>
              <w:t>QR</w:t>
            </w:r>
            <w:bookmarkStart w:id="0" w:name="_GoBack"/>
            <w:bookmarkEnd w:id="0"/>
            <w:r w:rsidRPr="00263AA0">
              <w:rPr>
                <w:rFonts w:ascii="ＭＳ 明朝" w:eastAsia="ＭＳ 明朝" w:hAnsi="ＭＳ 明朝" w:cs="Adobe Song Std L"/>
                <w:color w:val="000000" w:themeColor="text1"/>
                <w:szCs w:val="21"/>
              </w:rPr>
              <w:t>コンテンツを用意し，生徒がインターネットを介して利用できるようにしている。</w:t>
            </w:r>
          </w:p>
          <w:p w14:paraId="596F51BC" w14:textId="34238AD1"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章扉で，章の内容に関連する物事を写真と共に紹介するなど，学習内容に関して興味・関心を高めるよう工夫されている。また，章末では，章扉と関連した章の内容に関連する話題について，その章で学んだことを活用して説明することで，学習した成果を感じられるよう工夫されている。</w:t>
            </w:r>
          </w:p>
          <w:p w14:paraId="1E9F6CFF" w14:textId="2761D7EB"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●各節末の「Training」では，問題の右横に関連する問題のページと例題番号などを明記し，解けなかったときには本文にフィードバックできるように配慮されている。</w:t>
            </w:r>
          </w:p>
          <w:p w14:paraId="652521FD" w14:textId="2A31583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●巻末解答には，本文中の問と節末，章末，巻末の問題に対する解答がすべて掲載されており，自学自習できるよう配慮が行き届いている。</w:t>
            </w:r>
          </w:p>
          <w:p w14:paraId="4C5204DA" w14:textId="73FFD8C3"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●教科書を支援する指導書や周辺教材などが充実しており，指導しやすい教科書である。</w:t>
            </w:r>
          </w:p>
        </w:tc>
      </w:tr>
      <w:tr w:rsidR="00263AA0" w:rsidRPr="002C0F0A" w14:paraId="7813244F" w14:textId="4606CFD1" w:rsidTr="00592A8E">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662F6703" w14:textId="6F51C63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●B5変形判で，大判（B5判）教科書のような見やすさや分かりやすさと，持ちやすいなど使い勝手のよさの両立がはかられている。</w:t>
            </w:r>
          </w:p>
          <w:p w14:paraId="438FD227" w14:textId="2F2F1F1A"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●活字は鮮明で読みやすく，写真，イラストなども鮮明で効果的である。</w:t>
            </w:r>
          </w:p>
          <w:p w14:paraId="7F7E09DD" w14:textId="3DC8F58C"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●製本は堅牢で，開きやすい様式である。</w:t>
            </w:r>
          </w:p>
          <w:p w14:paraId="214D727A" w14:textId="32610C8F"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●図やグラフの色使いなど，色覚特性への配慮を含むユニバーサルデザインとなっており，全ページにわたって配色を工夫するなど，誰もが見やすい紙面になっている。</w:t>
            </w:r>
          </w:p>
          <w:p w14:paraId="154AF7DA" w14:textId="2674F71E"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●本文の用紙には再生紙と植物油インキを使用し，印刷業界団体が定めた環境配慮基準を満たす「グリーンプリンティング認定工場」で印刷するなど，地球環境や資源に及ぼす影響に考慮されている。</w:t>
            </w:r>
          </w:p>
        </w:tc>
      </w:tr>
      <w:tr w:rsidR="00263AA0"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263AA0" w:rsidRPr="002C0F0A" w:rsidRDefault="00263AA0" w:rsidP="00263AA0">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263AA0" w:rsidRPr="00DA0F64" w:rsidRDefault="00263AA0" w:rsidP="00263AA0">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581332B4" w:rsidR="00263AA0" w:rsidRPr="00263AA0" w:rsidRDefault="00263AA0" w:rsidP="00263AA0">
            <w:pPr>
              <w:ind w:left="210" w:hangingChars="100" w:hanging="210"/>
              <w:rPr>
                <w:rFonts w:ascii="ＭＳ 明朝" w:eastAsia="ＭＳ 明朝" w:hAnsi="ＭＳ 明朝" w:cs="Adobe Song Std L"/>
                <w:color w:val="000000" w:themeColor="text1"/>
                <w:szCs w:val="21"/>
              </w:rPr>
            </w:pPr>
            <w:r w:rsidRPr="00263AA0">
              <w:rPr>
                <w:rFonts w:ascii="ＭＳ 明朝" w:eastAsia="ＭＳ 明朝" w:hAnsi="ＭＳ 明朝" w:cs="Adobe Song Std L"/>
                <w:color w:val="000000" w:themeColor="text1"/>
                <w:szCs w:val="21"/>
              </w:rPr>
              <w:t>●</w:t>
            </w:r>
            <w:r w:rsidRPr="00C3154A">
              <w:rPr>
                <w:rFonts w:ascii="ＭＳ 明朝" w:eastAsia="ＭＳ 明朝" w:hAnsi="ＭＳ 明朝" w:cs="Adobe Song Std L"/>
                <w:szCs w:val="21"/>
              </w:rPr>
              <w:t>必要事項をコンパクトにまとめ，変形判のメリットを効果的に活用した紙面構成，例・例題を参考にすれば問題が解けるようにした構成上の工夫など，全体を通して問題が解けることで数学の楽しさが体感できるように編集された教科書である。</w:t>
            </w:r>
          </w:p>
        </w:tc>
      </w:tr>
    </w:tbl>
    <w:p w14:paraId="04BFC992" w14:textId="0AFA1106"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93B0E" w14:textId="77777777" w:rsidR="009531A7" w:rsidRDefault="009531A7" w:rsidP="00263AA0">
      <w:r>
        <w:separator/>
      </w:r>
    </w:p>
  </w:endnote>
  <w:endnote w:type="continuationSeparator" w:id="0">
    <w:p w14:paraId="49262F47" w14:textId="77777777" w:rsidR="009531A7" w:rsidRDefault="009531A7" w:rsidP="0026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680A" w14:textId="77777777" w:rsidR="009531A7" w:rsidRDefault="009531A7" w:rsidP="00263AA0">
      <w:r>
        <w:separator/>
      </w:r>
    </w:p>
  </w:footnote>
  <w:footnote w:type="continuationSeparator" w:id="0">
    <w:p w14:paraId="696B4DCC" w14:textId="77777777" w:rsidR="009531A7" w:rsidRDefault="009531A7" w:rsidP="0026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0A3A07"/>
    <w:rsid w:val="00106A58"/>
    <w:rsid w:val="00261C40"/>
    <w:rsid w:val="00263AA0"/>
    <w:rsid w:val="002C0F0A"/>
    <w:rsid w:val="003147FE"/>
    <w:rsid w:val="003D33EB"/>
    <w:rsid w:val="00413AAC"/>
    <w:rsid w:val="004204C4"/>
    <w:rsid w:val="004A11C2"/>
    <w:rsid w:val="00592A8E"/>
    <w:rsid w:val="005B3198"/>
    <w:rsid w:val="005E1A76"/>
    <w:rsid w:val="005F38D6"/>
    <w:rsid w:val="006C7DB4"/>
    <w:rsid w:val="00751675"/>
    <w:rsid w:val="0076320E"/>
    <w:rsid w:val="007B2E68"/>
    <w:rsid w:val="009531A7"/>
    <w:rsid w:val="00A576FD"/>
    <w:rsid w:val="00BD57AE"/>
    <w:rsid w:val="00C1378B"/>
    <w:rsid w:val="00C3154A"/>
    <w:rsid w:val="00C67929"/>
    <w:rsid w:val="00D0453D"/>
    <w:rsid w:val="00DA0F64"/>
    <w:rsid w:val="00E17E31"/>
    <w:rsid w:val="00F177F9"/>
    <w:rsid w:val="00F22CF7"/>
    <w:rsid w:val="00F94AF3"/>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AA0"/>
    <w:pPr>
      <w:tabs>
        <w:tab w:val="center" w:pos="4252"/>
        <w:tab w:val="right" w:pos="8504"/>
      </w:tabs>
      <w:snapToGrid w:val="0"/>
    </w:pPr>
  </w:style>
  <w:style w:type="character" w:customStyle="1" w:styleId="a4">
    <w:name w:val="ヘッダー (文字)"/>
    <w:basedOn w:val="a0"/>
    <w:link w:val="a3"/>
    <w:uiPriority w:val="99"/>
    <w:rsid w:val="00263AA0"/>
  </w:style>
  <w:style w:type="paragraph" w:styleId="a5">
    <w:name w:val="footer"/>
    <w:basedOn w:val="a"/>
    <w:link w:val="a6"/>
    <w:uiPriority w:val="99"/>
    <w:unhideWhenUsed/>
    <w:rsid w:val="00263AA0"/>
    <w:pPr>
      <w:tabs>
        <w:tab w:val="center" w:pos="4252"/>
        <w:tab w:val="right" w:pos="8504"/>
      </w:tabs>
      <w:snapToGrid w:val="0"/>
    </w:pPr>
  </w:style>
  <w:style w:type="character" w:customStyle="1" w:styleId="a6">
    <w:name w:val="フッター (文字)"/>
    <w:basedOn w:val="a0"/>
    <w:link w:val="a5"/>
    <w:uiPriority w:val="99"/>
    <w:rsid w:val="00263AA0"/>
  </w:style>
  <w:style w:type="paragraph" w:styleId="a7">
    <w:name w:val="Balloon Text"/>
    <w:basedOn w:val="a"/>
    <w:link w:val="a8"/>
    <w:uiPriority w:val="99"/>
    <w:semiHidden/>
    <w:unhideWhenUsed/>
    <w:rsid w:val="00BD57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57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4CDC-05D7-4A08-A6EF-2DAF0DF5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401</Words>
  <Characters>2290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寺山 雅崇</cp:lastModifiedBy>
  <cp:revision>17</cp:revision>
  <cp:lastPrinted>2022-04-05T09:10:00Z</cp:lastPrinted>
  <dcterms:created xsi:type="dcterms:W3CDTF">2021-04-30T15:50:00Z</dcterms:created>
  <dcterms:modified xsi:type="dcterms:W3CDTF">2025-03-06T11:22:00Z</dcterms:modified>
</cp:coreProperties>
</file>