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D292" w14:textId="05D473C0"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CA2FCC">
        <w:rPr>
          <w:rFonts w:ascii="ＭＳ Ｐゴシック" w:eastAsia="ＭＳ Ｐゴシック" w:hAnsi="ＭＳ Ｐゴシック" w:hint="eastAsia"/>
          <w:sz w:val="18"/>
          <w:szCs w:val="18"/>
          <w:bdr w:val="single" w:sz="4" w:space="0" w:color="auto"/>
        </w:rPr>
        <w:t>8</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753024A5" w:rsidR="002C0F0A" w:rsidRPr="007B2E68" w:rsidRDefault="00CA2FCC" w:rsidP="002C0F0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改訂版 </w:t>
      </w:r>
      <w:r w:rsidR="002C0F0A" w:rsidRPr="007B2E68">
        <w:rPr>
          <w:rFonts w:ascii="ＭＳ Ｐゴシック" w:eastAsia="ＭＳ Ｐゴシック" w:hAnsi="ＭＳ Ｐゴシック" w:hint="eastAsia"/>
          <w:sz w:val="20"/>
          <w:szCs w:val="20"/>
        </w:rPr>
        <w:t>数学</w:t>
      </w:r>
      <w:r w:rsidR="001274DE">
        <w:rPr>
          <w:rFonts w:ascii="ＭＳ Ｐゴシック" w:eastAsia="ＭＳ Ｐゴシック" w:hAnsi="ＭＳ Ｐゴシック" w:hint="eastAsia"/>
          <w:sz w:val="20"/>
          <w:szCs w:val="20"/>
        </w:rPr>
        <w:t>Ａ</w:t>
      </w:r>
      <w:r w:rsidR="007B2E68" w:rsidRPr="007B2E68">
        <w:rPr>
          <w:rFonts w:ascii="ＭＳ Ｐゴシック" w:eastAsia="ＭＳ Ｐゴシック" w:hAnsi="ＭＳ Ｐゴシック" w:hint="eastAsia"/>
          <w:sz w:val="20"/>
          <w:szCs w:val="20"/>
        </w:rPr>
        <w:t xml:space="preserve"> </w:t>
      </w:r>
      <w:r w:rsidR="002C0F0A" w:rsidRPr="007B2E68">
        <w:rPr>
          <w:rFonts w:ascii="ＭＳ Ｐゴシック" w:eastAsia="ＭＳ Ｐゴシック" w:hAnsi="ＭＳ Ｐゴシック"/>
          <w:sz w:val="20"/>
          <w:szCs w:val="20"/>
        </w:rPr>
        <w:t>Advanced</w:t>
      </w:r>
      <w:r w:rsidR="007B2E68" w:rsidRPr="007B2E68">
        <w:rPr>
          <w:rFonts w:ascii="ＭＳ Ｐゴシック" w:eastAsia="ＭＳ Ｐゴシック" w:hAnsi="ＭＳ Ｐゴシック" w:hint="eastAsia"/>
          <w:sz w:val="20"/>
          <w:szCs w:val="20"/>
        </w:rPr>
        <w:t>/</w:t>
      </w:r>
      <w:r w:rsidR="002C0F0A" w:rsidRPr="007B2E68">
        <w:rPr>
          <w:rFonts w:ascii="ＭＳ Ｐゴシック" w:eastAsia="ＭＳ Ｐゴシック" w:hAnsi="ＭＳ Ｐゴシック"/>
          <w:sz w:val="20"/>
          <w:szCs w:val="20"/>
        </w:rPr>
        <w:t>2東書・数</w:t>
      </w:r>
      <w:r w:rsidR="001274DE">
        <w:rPr>
          <w:rFonts w:ascii="ＭＳ Ｐゴシック" w:eastAsia="ＭＳ Ｐゴシック" w:hAnsi="ＭＳ Ｐゴシック" w:hint="eastAsia"/>
          <w:sz w:val="20"/>
          <w:szCs w:val="20"/>
        </w:rPr>
        <w:t>Ａ</w:t>
      </w:r>
      <w:r>
        <w:rPr>
          <w:rFonts w:ascii="ＭＳ Ｐゴシック" w:eastAsia="ＭＳ Ｐゴシック" w:hAnsi="ＭＳ Ｐゴシック" w:hint="eastAsia"/>
          <w:sz w:val="20"/>
          <w:szCs w:val="20"/>
        </w:rPr>
        <w:t>002-901</w:t>
      </w:r>
    </w:p>
    <w:p w14:paraId="7A342EBB" w14:textId="77777777" w:rsidR="003D33EB" w:rsidRPr="002A4D90" w:rsidRDefault="003D33EB" w:rsidP="002C0F0A">
      <w:pPr>
        <w:jc w:val="right"/>
        <w:rPr>
          <w:rFonts w:ascii="ＭＳ Ｐゴシック" w:eastAsia="ＭＳ Ｐゴシック" w:hAnsi="ＭＳ Ｐゴシック"/>
          <w:szCs w:val="21"/>
          <w:shd w:val="clear" w:color="auto" w:fill="806000" w:themeFill="accent4" w:themeFillShade="80"/>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A4D90" w14:paraId="6F08A846" w14:textId="07910375" w:rsidTr="002A4D90">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806000" w:themeFill="accent4" w:themeFillShade="80"/>
          </w:tcPr>
          <w:p w14:paraId="5B8849CD" w14:textId="1B8F2681" w:rsidR="003D33EB" w:rsidRPr="002A4D90" w:rsidRDefault="003D33EB" w:rsidP="002C0F0A">
            <w:pPr>
              <w:adjustRightInd w:val="0"/>
              <w:ind w:leftChars="-50" w:left="-105" w:rightChars="-50" w:right="-105"/>
              <w:jc w:val="center"/>
              <w:rPr>
                <w:rFonts w:ascii="ＭＳ ゴシック" w:eastAsia="ＭＳ ゴシック" w:hAnsi="ＭＳ ゴシック" w:cs="A-OTF ゴシックMB101 Pro L"/>
                <w:szCs w:val="21"/>
                <w:shd w:val="clear" w:color="auto" w:fill="806000" w:themeFill="accent4" w:themeFillShade="80"/>
              </w:rPr>
            </w:pPr>
            <w:r w:rsidRPr="002A4D90">
              <w:rPr>
                <w:rFonts w:ascii="ＭＳ ゴシック" w:eastAsia="ＭＳ ゴシック" w:hAnsi="ＭＳ ゴシック" w:cs="A-OTF ゴシックMB101 Pro L"/>
                <w:color w:val="FFFFFF"/>
                <w:position w:val="-2"/>
                <w:szCs w:val="21"/>
                <w:shd w:val="clear" w:color="auto" w:fill="806000" w:themeFill="accent4" w:themeFillShade="80"/>
              </w:rPr>
              <w:t>項</w:t>
            </w:r>
            <w:r w:rsidRPr="002A4D90">
              <w:rPr>
                <w:rFonts w:ascii="ＭＳ ゴシック" w:eastAsia="ＭＳ ゴシック" w:hAnsi="ＭＳ ゴシック" w:cs="A-OTF ゴシックMB101 Pro L"/>
                <w:color w:val="FFFFFF"/>
                <w:w w:val="103"/>
                <w:position w:val="-2"/>
                <w:szCs w:val="21"/>
                <w:shd w:val="clear" w:color="auto" w:fill="806000" w:themeFill="accent4" w:themeFillShade="80"/>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806000" w:themeFill="accent4" w:themeFillShade="80"/>
          </w:tcPr>
          <w:p w14:paraId="16843044" w14:textId="5DC4D0B8" w:rsidR="003D33EB" w:rsidRPr="002A4D90" w:rsidRDefault="003D33EB" w:rsidP="002C0F0A">
            <w:pPr>
              <w:adjustRightInd w:val="0"/>
              <w:ind w:leftChars="-50" w:left="-105" w:rightChars="-50" w:right="-105"/>
              <w:jc w:val="center"/>
              <w:rPr>
                <w:rFonts w:ascii="ＭＳ ゴシック" w:eastAsia="ＭＳ ゴシック" w:hAnsi="ＭＳ ゴシック" w:cs="Adobe Song Std L"/>
                <w:szCs w:val="21"/>
                <w:shd w:val="clear" w:color="auto" w:fill="806000" w:themeFill="accent4" w:themeFillShade="80"/>
              </w:rPr>
            </w:pPr>
            <w:r w:rsidRPr="002A4D90">
              <w:rPr>
                <w:rFonts w:ascii="ＭＳ ゴシック" w:eastAsia="ＭＳ ゴシック" w:hAnsi="ＭＳ ゴシック" w:cs="Adobe Song Std L"/>
                <w:color w:val="FFFFFF"/>
                <w:w w:val="103"/>
                <w:szCs w:val="21"/>
                <w:shd w:val="clear" w:color="auto" w:fill="806000" w:themeFill="accent4" w:themeFillShade="80"/>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806000" w:themeFill="accent4" w:themeFillShade="80"/>
          </w:tcPr>
          <w:p w14:paraId="683C5EAB" w14:textId="628802FA" w:rsidR="003D33EB" w:rsidRPr="002A4D90" w:rsidRDefault="003D33EB" w:rsidP="002C0F0A">
            <w:pPr>
              <w:adjustRightInd w:val="0"/>
              <w:ind w:leftChars="-50" w:left="-105" w:rightChars="-50" w:right="-105"/>
              <w:jc w:val="center"/>
              <w:rPr>
                <w:rFonts w:ascii="ＭＳ ゴシック" w:eastAsia="ＭＳ ゴシック" w:hAnsi="ＭＳ ゴシック" w:cs="Adobe Song Std L"/>
                <w:szCs w:val="21"/>
                <w:shd w:val="clear" w:color="auto" w:fill="806000" w:themeFill="accent4" w:themeFillShade="80"/>
              </w:rPr>
            </w:pPr>
            <w:r w:rsidRPr="002A4D90">
              <w:rPr>
                <w:rFonts w:ascii="ＭＳ ゴシック" w:eastAsia="ＭＳ ゴシック" w:hAnsi="ＭＳ ゴシック" w:cs="Adobe Song Std L"/>
                <w:color w:val="FFFFFF"/>
                <w:spacing w:val="16"/>
                <w:w w:val="103"/>
                <w:szCs w:val="21"/>
                <w:shd w:val="clear" w:color="auto" w:fill="806000" w:themeFill="accent4" w:themeFillShade="80"/>
              </w:rPr>
              <w:t>内容の特</w:t>
            </w:r>
            <w:r w:rsidRPr="002A4D90">
              <w:rPr>
                <w:rFonts w:ascii="ＭＳ ゴシック" w:eastAsia="ＭＳ ゴシック" w:hAnsi="ＭＳ ゴシック" w:cs="Adobe Song Std L"/>
                <w:color w:val="FFFFFF"/>
                <w:w w:val="103"/>
                <w:szCs w:val="21"/>
                <w:shd w:val="clear" w:color="auto" w:fill="806000" w:themeFill="accent4" w:themeFillShade="80"/>
              </w:rPr>
              <w:t>色</w:t>
            </w:r>
          </w:p>
        </w:tc>
      </w:tr>
      <w:tr w:rsidR="003D33EB" w:rsidRPr="002C0F0A" w14:paraId="2EE08739" w14:textId="31805C25" w:rsidTr="00A75738">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0D10AFC9" w14:textId="6622F24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●基礎的・基本的な事項がコンパクトに網羅されている。また，丁寧な記述とスモールステップな問題配列で，スムーズに授業が展開できるように工夫して編集されている。</w:t>
            </w:r>
          </w:p>
          <w:p w14:paraId="543473F5" w14:textId="77A9A50F" w:rsidR="003D33EB" w:rsidRDefault="003D33EB" w:rsidP="00775649">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1274DE">
              <w:rPr>
                <w:rFonts w:ascii="ＭＳ 明朝" w:eastAsia="ＭＳ 明朝" w:hAnsi="ＭＳ 明朝" w:cs="Adobe Song Std L" w:hint="eastAsia"/>
                <w:szCs w:val="21"/>
              </w:rPr>
              <w:t>Ａ</w:t>
            </w:r>
            <w:r w:rsidRPr="00DA0F64">
              <w:rPr>
                <w:rFonts w:ascii="ＭＳ 明朝" w:eastAsia="ＭＳ 明朝" w:hAnsi="ＭＳ 明朝" w:cs="Adobe Song Std L"/>
                <w:szCs w:val="21"/>
              </w:rPr>
              <w:t>「1章</w:t>
            </w:r>
            <w:r>
              <w:rPr>
                <w:rFonts w:ascii="ＭＳ 明朝" w:eastAsia="ＭＳ 明朝" w:hAnsi="ＭＳ 明朝" w:cs="Adobe Song Std L" w:hint="eastAsia"/>
                <w:szCs w:val="21"/>
              </w:rPr>
              <w:t xml:space="preserve">　</w:t>
            </w:r>
            <w:r w:rsidR="001274DE">
              <w:rPr>
                <w:rFonts w:ascii="ＭＳ 明朝" w:eastAsia="ＭＳ 明朝" w:hAnsi="ＭＳ 明朝" w:cs="Adobe Song Std L" w:hint="eastAsia"/>
                <w:szCs w:val="21"/>
              </w:rPr>
              <w:t>場合の数と確率</w:t>
            </w:r>
            <w:r w:rsidRPr="00DA0F64">
              <w:rPr>
                <w:rFonts w:ascii="ＭＳ 明朝" w:eastAsia="ＭＳ 明朝" w:hAnsi="ＭＳ 明朝" w:cs="Adobe Song Std L"/>
                <w:szCs w:val="21"/>
              </w:rPr>
              <w:t>」では，</w:t>
            </w:r>
            <w:r w:rsidR="00CA2FCC">
              <w:rPr>
                <w:rFonts w:ascii="ＭＳ 明朝" w:eastAsia="ＭＳ 明朝" w:hAnsi="ＭＳ 明朝" w:cs="Adobe Song Std L" w:hint="eastAsia"/>
                <w:szCs w:val="21"/>
              </w:rPr>
              <w:t>さまざまな場合の数を求める際に，既に学習した内容と対比する場面が設けられており，体系的な理解が得られるように工夫されている</w:t>
            </w:r>
            <w:r w:rsidR="001274DE" w:rsidRPr="001274DE">
              <w:rPr>
                <w:rFonts w:ascii="ＭＳ 明朝" w:eastAsia="ＭＳ 明朝" w:hAnsi="ＭＳ 明朝" w:cs="Adobe Song Std L"/>
                <w:szCs w:val="21"/>
              </w:rPr>
              <w:t>。（p.</w:t>
            </w:r>
            <w:r w:rsidR="00CA2FCC">
              <w:rPr>
                <w:rFonts w:ascii="ＭＳ 明朝" w:eastAsia="ＭＳ 明朝" w:hAnsi="ＭＳ 明朝" w:cs="Adobe Song Std L" w:hint="eastAsia"/>
                <w:szCs w:val="21"/>
              </w:rPr>
              <w:t>21</w:t>
            </w:r>
            <w:r w:rsidR="001274DE" w:rsidRPr="001274DE">
              <w:rPr>
                <w:rFonts w:ascii="ＭＳ 明朝" w:eastAsia="ＭＳ 明朝" w:hAnsi="ＭＳ 明朝" w:cs="Adobe Song Std L"/>
                <w:szCs w:val="21"/>
              </w:rPr>
              <w:t>,</w:t>
            </w:r>
            <w:r w:rsidR="00CA2FCC">
              <w:rPr>
                <w:rFonts w:ascii="ＭＳ 明朝" w:eastAsia="ＭＳ 明朝" w:hAnsi="ＭＳ 明朝" w:cs="Adobe Song Std L" w:hint="eastAsia"/>
                <w:szCs w:val="21"/>
              </w:rPr>
              <w:t>23</w:t>
            </w:r>
            <w:r w:rsidR="001274DE" w:rsidRPr="001274DE">
              <w:rPr>
                <w:rFonts w:ascii="ＭＳ 明朝" w:eastAsia="ＭＳ 明朝" w:hAnsi="ＭＳ 明朝" w:cs="Adobe Song Std L"/>
                <w:szCs w:val="21"/>
              </w:rPr>
              <w:t>,</w:t>
            </w:r>
            <w:r w:rsidR="00CA2FCC">
              <w:rPr>
                <w:rFonts w:ascii="ＭＳ 明朝" w:eastAsia="ＭＳ 明朝" w:hAnsi="ＭＳ 明朝" w:cs="Adobe Song Std L" w:hint="eastAsia"/>
                <w:szCs w:val="21"/>
              </w:rPr>
              <w:t>27</w:t>
            </w:r>
            <w:r w:rsidR="001274DE" w:rsidRPr="001274DE">
              <w:rPr>
                <w:rFonts w:ascii="ＭＳ 明朝" w:eastAsia="ＭＳ 明朝" w:hAnsi="ＭＳ 明朝" w:cs="Adobe Song Std L"/>
                <w:szCs w:val="21"/>
              </w:rPr>
              <w:t>,</w:t>
            </w:r>
            <w:r w:rsidR="00CA2FCC">
              <w:rPr>
                <w:rFonts w:ascii="ＭＳ 明朝" w:eastAsia="ＭＳ 明朝" w:hAnsi="ＭＳ 明朝" w:cs="Adobe Song Std L" w:hint="eastAsia"/>
                <w:szCs w:val="21"/>
              </w:rPr>
              <w:t>32</w:t>
            </w:r>
            <w:r w:rsidR="001274DE" w:rsidRPr="001274DE">
              <w:rPr>
                <w:rFonts w:ascii="ＭＳ 明朝" w:eastAsia="ＭＳ 明朝" w:hAnsi="ＭＳ 明朝" w:cs="Adobe Song Std L"/>
                <w:szCs w:val="21"/>
              </w:rPr>
              <w:t>）</w:t>
            </w:r>
          </w:p>
          <w:p w14:paraId="30045286" w14:textId="02116BD4" w:rsidR="00B10B1F" w:rsidRDefault="00EA719B" w:rsidP="000A12C8">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1274DE">
              <w:rPr>
                <w:rFonts w:ascii="ＭＳ 明朝" w:eastAsia="ＭＳ 明朝" w:hAnsi="ＭＳ 明朝" w:cs="Adobe Song Std L" w:hint="eastAsia"/>
                <w:szCs w:val="21"/>
              </w:rPr>
              <w:t>Ａ</w:t>
            </w:r>
            <w:r w:rsidRPr="00DA0F64">
              <w:rPr>
                <w:rFonts w:ascii="ＭＳ 明朝" w:eastAsia="ＭＳ 明朝" w:hAnsi="ＭＳ 明朝" w:cs="Adobe Song Std L"/>
                <w:szCs w:val="21"/>
              </w:rPr>
              <w:t>「</w:t>
            </w:r>
            <w:r>
              <w:rPr>
                <w:rFonts w:ascii="ＭＳ 明朝" w:eastAsia="ＭＳ 明朝" w:hAnsi="ＭＳ 明朝" w:cs="Adobe Song Std L"/>
                <w:szCs w:val="21"/>
              </w:rPr>
              <w:t>2</w:t>
            </w:r>
            <w:r w:rsidRPr="00DA0F64">
              <w:rPr>
                <w:rFonts w:ascii="ＭＳ 明朝" w:eastAsia="ＭＳ 明朝" w:hAnsi="ＭＳ 明朝" w:cs="Adobe Song Std L"/>
                <w:szCs w:val="21"/>
              </w:rPr>
              <w:t>章</w:t>
            </w:r>
            <w:r w:rsidR="00586158">
              <w:rPr>
                <w:rFonts w:ascii="ＭＳ 明朝" w:eastAsia="ＭＳ 明朝" w:hAnsi="ＭＳ 明朝" w:cs="Adobe Song Std L" w:hint="eastAsia"/>
                <w:szCs w:val="21"/>
              </w:rPr>
              <w:t xml:space="preserve">　</w:t>
            </w:r>
            <w:r w:rsidR="001274DE">
              <w:rPr>
                <w:rFonts w:ascii="ＭＳ 明朝" w:eastAsia="ＭＳ 明朝" w:hAnsi="ＭＳ 明朝" w:cs="Adobe Song Std L" w:hint="eastAsia"/>
                <w:szCs w:val="21"/>
              </w:rPr>
              <w:t>図形の性質</w:t>
            </w:r>
            <w:r w:rsidRPr="00DA0F64">
              <w:rPr>
                <w:rFonts w:ascii="ＭＳ 明朝" w:eastAsia="ＭＳ 明朝" w:hAnsi="ＭＳ 明朝" w:cs="Adobe Song Std L"/>
                <w:szCs w:val="21"/>
              </w:rPr>
              <w:t>」では，</w:t>
            </w:r>
            <w:r w:rsidR="00CA2FCC">
              <w:rPr>
                <w:rFonts w:ascii="ＭＳ 明朝" w:eastAsia="ＭＳ 明朝" w:hAnsi="ＭＳ 明朝" w:cs="Adobe Song Std L" w:hint="eastAsia"/>
                <w:szCs w:val="21"/>
              </w:rPr>
              <w:t>メネラウスの定理とチェバの定理の証明について，異なる場面でも同様に証明できることを確認する問が設けられており，図形の証明についての理解が深められ、さらに統合的・発展的な視点も身につけられるように工夫されている</w:t>
            </w:r>
            <w:r w:rsidR="001274DE" w:rsidRPr="001274DE">
              <w:rPr>
                <w:rFonts w:ascii="ＭＳ 明朝" w:eastAsia="ＭＳ 明朝" w:hAnsi="ＭＳ 明朝" w:cs="Adobe Song Std L"/>
                <w:szCs w:val="21"/>
              </w:rPr>
              <w:t>。（p.</w:t>
            </w:r>
            <w:r w:rsidR="00CA2FCC">
              <w:rPr>
                <w:rFonts w:ascii="ＭＳ 明朝" w:eastAsia="ＭＳ 明朝" w:hAnsi="ＭＳ 明朝" w:cs="Adobe Song Std L" w:hint="eastAsia"/>
                <w:szCs w:val="21"/>
              </w:rPr>
              <w:t>76</w:t>
            </w:r>
            <w:r w:rsidR="001274DE">
              <w:rPr>
                <w:rFonts w:ascii="ＭＳ 明朝" w:eastAsia="ＭＳ 明朝" w:hAnsi="ＭＳ 明朝" w:cs="Adobe Song Std L" w:hint="eastAsia"/>
                <w:szCs w:val="21"/>
              </w:rPr>
              <w:t>～</w:t>
            </w:r>
            <w:r w:rsidR="00CA2FCC">
              <w:rPr>
                <w:rFonts w:ascii="ＭＳ 明朝" w:eastAsia="ＭＳ 明朝" w:hAnsi="ＭＳ 明朝" w:cs="Adobe Song Std L" w:hint="eastAsia"/>
                <w:szCs w:val="21"/>
              </w:rPr>
              <w:t>77</w:t>
            </w:r>
            <w:r w:rsidR="001274DE" w:rsidRPr="001274DE">
              <w:rPr>
                <w:rFonts w:ascii="ＭＳ 明朝" w:eastAsia="ＭＳ 明朝" w:hAnsi="ＭＳ 明朝" w:cs="Adobe Song Std L"/>
                <w:szCs w:val="21"/>
              </w:rPr>
              <w:t>）</w:t>
            </w:r>
          </w:p>
          <w:p w14:paraId="1D0A3035" w14:textId="76BF2EB8" w:rsidR="00CA2FCC" w:rsidRDefault="00CA2FCC" w:rsidP="00CA2FCC">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Pr>
                <w:rFonts w:ascii="ＭＳ 明朝" w:eastAsia="ＭＳ 明朝" w:hAnsi="ＭＳ 明朝" w:cs="Adobe Song Std L" w:hint="eastAsia"/>
                <w:szCs w:val="21"/>
              </w:rPr>
              <w:t>Ａ</w:t>
            </w:r>
            <w:r w:rsidRPr="00DA0F64">
              <w:rPr>
                <w:rFonts w:ascii="ＭＳ 明朝" w:eastAsia="ＭＳ 明朝" w:hAnsi="ＭＳ 明朝" w:cs="Adobe Song Std L"/>
                <w:szCs w:val="21"/>
              </w:rPr>
              <w:t>「</w:t>
            </w:r>
            <w:r>
              <w:rPr>
                <w:rFonts w:ascii="ＭＳ 明朝" w:eastAsia="ＭＳ 明朝" w:hAnsi="ＭＳ 明朝" w:cs="Adobe Song Std L" w:hint="eastAsia"/>
                <w:szCs w:val="21"/>
              </w:rPr>
              <w:t>3</w:t>
            </w:r>
            <w:r w:rsidRPr="00DA0F64">
              <w:rPr>
                <w:rFonts w:ascii="ＭＳ 明朝" w:eastAsia="ＭＳ 明朝" w:hAnsi="ＭＳ 明朝" w:cs="Adobe Song Std L"/>
                <w:szCs w:val="21"/>
              </w:rPr>
              <w:t>章</w:t>
            </w:r>
            <w:r>
              <w:rPr>
                <w:rFonts w:ascii="ＭＳ 明朝" w:eastAsia="ＭＳ 明朝" w:hAnsi="ＭＳ 明朝" w:cs="Adobe Song Std L" w:hint="eastAsia"/>
                <w:szCs w:val="21"/>
              </w:rPr>
              <w:t xml:space="preserve">　整数の性質</w:t>
            </w:r>
            <w:r w:rsidRPr="00DA0F64">
              <w:rPr>
                <w:rFonts w:ascii="ＭＳ 明朝" w:eastAsia="ＭＳ 明朝" w:hAnsi="ＭＳ 明朝" w:cs="Adobe Song Std L"/>
                <w:szCs w:val="21"/>
              </w:rPr>
              <w:t>」では，</w:t>
            </w:r>
            <w:r w:rsidR="00774456" w:rsidRPr="00774456">
              <w:rPr>
                <w:rFonts w:ascii="ＭＳ 明朝" w:eastAsia="ＭＳ 明朝" w:hAnsi="ＭＳ 明朝" w:cs="Adobe Song Std L"/>
                <w:szCs w:val="21"/>
              </w:rPr>
              <w:t>約数，倍数，素数，素因数分解，最大公約数，最小公倍数のような中学校までで学習してきた内容について，より数学的な記述によってまとめ直し</w:t>
            </w:r>
            <w:r w:rsidR="00774456">
              <w:rPr>
                <w:rFonts w:ascii="ＭＳ 明朝" w:eastAsia="ＭＳ 明朝" w:hAnsi="ＭＳ 明朝" w:cs="Adobe Song Std L" w:hint="eastAsia"/>
                <w:szCs w:val="21"/>
              </w:rPr>
              <w:t>ている</w:t>
            </w:r>
            <w:r w:rsidR="00774456" w:rsidRPr="00774456">
              <w:rPr>
                <w:rFonts w:ascii="ＭＳ 明朝" w:eastAsia="ＭＳ 明朝" w:hAnsi="ＭＳ 明朝" w:cs="Adobe Song Std L"/>
                <w:szCs w:val="21"/>
              </w:rPr>
              <w:t>。また，まとめ直しに終始することなく，例題を通してそれらの知識を活用できるように</w:t>
            </w:r>
            <w:r>
              <w:rPr>
                <w:rFonts w:ascii="ＭＳ 明朝" w:eastAsia="ＭＳ 明朝" w:hAnsi="ＭＳ 明朝" w:cs="Adobe Song Std L" w:hint="eastAsia"/>
                <w:szCs w:val="21"/>
              </w:rPr>
              <w:t>工夫されている</w:t>
            </w:r>
            <w:r w:rsidRPr="00501BD7">
              <w:rPr>
                <w:rFonts w:ascii="ＭＳ 明朝" w:eastAsia="ＭＳ 明朝" w:hAnsi="ＭＳ 明朝" w:cs="Adobe Song Std L" w:hint="eastAsia"/>
                <w:szCs w:val="21"/>
              </w:rPr>
              <w:t>。</w:t>
            </w:r>
            <w:r w:rsidRPr="001274DE">
              <w:rPr>
                <w:rFonts w:ascii="ＭＳ 明朝" w:eastAsia="ＭＳ 明朝" w:hAnsi="ＭＳ 明朝" w:cs="Adobe Song Std L"/>
                <w:szCs w:val="21"/>
              </w:rPr>
              <w:t>（</w:t>
            </w:r>
            <w:r>
              <w:rPr>
                <w:rFonts w:ascii="ＭＳ 明朝" w:eastAsia="ＭＳ 明朝" w:hAnsi="ＭＳ 明朝" w:cs="Adobe Song Std L"/>
                <w:szCs w:val="21"/>
              </w:rPr>
              <w:t>p.</w:t>
            </w:r>
            <w:r>
              <w:rPr>
                <w:rFonts w:ascii="ＭＳ 明朝" w:eastAsia="ＭＳ 明朝" w:hAnsi="ＭＳ 明朝" w:cs="Adobe Song Std L" w:hint="eastAsia"/>
                <w:szCs w:val="21"/>
              </w:rPr>
              <w:t>1</w:t>
            </w:r>
            <w:r w:rsidR="00774456">
              <w:rPr>
                <w:rFonts w:ascii="ＭＳ 明朝" w:eastAsia="ＭＳ 明朝" w:hAnsi="ＭＳ 明朝" w:cs="Adobe Song Std L" w:hint="eastAsia"/>
                <w:szCs w:val="21"/>
              </w:rPr>
              <w:t>18</w:t>
            </w:r>
            <w:r>
              <w:rPr>
                <w:rFonts w:ascii="ＭＳ 明朝" w:eastAsia="ＭＳ 明朝" w:hAnsi="ＭＳ 明朝" w:cs="Adobe Song Std L" w:hint="eastAsia"/>
                <w:szCs w:val="21"/>
              </w:rPr>
              <w:t>～1</w:t>
            </w:r>
            <w:r w:rsidR="00774456">
              <w:rPr>
                <w:rFonts w:ascii="ＭＳ 明朝" w:eastAsia="ＭＳ 明朝" w:hAnsi="ＭＳ 明朝" w:cs="Adobe Song Std L" w:hint="eastAsia"/>
                <w:szCs w:val="21"/>
              </w:rPr>
              <w:t>26</w:t>
            </w:r>
            <w:r w:rsidRPr="001274DE">
              <w:rPr>
                <w:rFonts w:ascii="ＭＳ 明朝" w:eastAsia="ＭＳ 明朝" w:hAnsi="ＭＳ 明朝" w:cs="Adobe Song Std L"/>
                <w:szCs w:val="21"/>
              </w:rPr>
              <w:t>）</w:t>
            </w:r>
          </w:p>
          <w:p w14:paraId="7B5151D8" w14:textId="6648B0CC" w:rsidR="003D33EB" w:rsidRPr="00DA0F64" w:rsidRDefault="003D33EB" w:rsidP="00E31D0C">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1274DE">
              <w:rPr>
                <w:rFonts w:ascii="ＭＳ 明朝" w:eastAsia="ＭＳ 明朝" w:hAnsi="ＭＳ 明朝" w:cs="Adobe Song Std L" w:hint="eastAsia"/>
                <w:szCs w:val="21"/>
              </w:rPr>
              <w:t>Ａ</w:t>
            </w:r>
            <w:r w:rsidRPr="00DA0F64">
              <w:rPr>
                <w:rFonts w:ascii="ＭＳ 明朝" w:eastAsia="ＭＳ 明朝" w:hAnsi="ＭＳ 明朝" w:cs="Adobe Song Std L"/>
                <w:szCs w:val="21"/>
              </w:rPr>
              <w:t>「</w:t>
            </w:r>
            <w:r w:rsidR="00CA2FCC">
              <w:rPr>
                <w:rFonts w:ascii="ＭＳ 明朝" w:eastAsia="ＭＳ 明朝" w:hAnsi="ＭＳ 明朝" w:cs="Adobe Song Std L" w:hint="eastAsia"/>
                <w:szCs w:val="21"/>
              </w:rPr>
              <w:t>4</w:t>
            </w:r>
            <w:r w:rsidRPr="00DA0F64">
              <w:rPr>
                <w:rFonts w:ascii="ＭＳ 明朝" w:eastAsia="ＭＳ 明朝" w:hAnsi="ＭＳ 明朝" w:cs="Adobe Song Std L"/>
                <w:szCs w:val="21"/>
              </w:rPr>
              <w:t>章</w:t>
            </w:r>
            <w:r>
              <w:rPr>
                <w:rFonts w:ascii="ＭＳ 明朝" w:eastAsia="ＭＳ 明朝" w:hAnsi="ＭＳ 明朝" w:cs="Adobe Song Std L" w:hint="eastAsia"/>
                <w:szCs w:val="21"/>
              </w:rPr>
              <w:t xml:space="preserve">　</w:t>
            </w:r>
            <w:r w:rsidR="001274DE">
              <w:rPr>
                <w:rFonts w:ascii="ＭＳ 明朝" w:eastAsia="ＭＳ 明朝" w:hAnsi="ＭＳ 明朝" w:cs="Adobe Song Std L" w:hint="eastAsia"/>
                <w:szCs w:val="21"/>
              </w:rPr>
              <w:t>数学と人間の活動</w:t>
            </w:r>
            <w:r w:rsidRPr="00DA0F64">
              <w:rPr>
                <w:rFonts w:ascii="ＭＳ 明朝" w:eastAsia="ＭＳ 明朝" w:hAnsi="ＭＳ 明朝" w:cs="Adobe Song Std L"/>
                <w:szCs w:val="21"/>
              </w:rPr>
              <w:t>」では，</w:t>
            </w:r>
            <w:r w:rsidR="00501BD7">
              <w:rPr>
                <w:rFonts w:ascii="ＭＳ 明朝" w:eastAsia="ＭＳ 明朝" w:hAnsi="ＭＳ 明朝" w:cs="Adobe Song Std L" w:hint="eastAsia"/>
                <w:szCs w:val="21"/>
              </w:rPr>
              <w:t>多様な</w:t>
            </w:r>
            <w:r w:rsidR="00501BD7" w:rsidRPr="00501BD7">
              <w:rPr>
                <w:rFonts w:ascii="ＭＳ 明朝" w:eastAsia="ＭＳ 明朝" w:hAnsi="ＭＳ 明朝" w:cs="Adobe Song Std L" w:hint="eastAsia"/>
                <w:szCs w:val="21"/>
              </w:rPr>
              <w:t>題材</w:t>
            </w:r>
            <w:r w:rsidR="00501BD7">
              <w:rPr>
                <w:rFonts w:ascii="ＭＳ 明朝" w:eastAsia="ＭＳ 明朝" w:hAnsi="ＭＳ 明朝" w:cs="Adobe Song Std L" w:hint="eastAsia"/>
                <w:szCs w:val="21"/>
              </w:rPr>
              <w:t>が扱われおり，それぞれが</w:t>
            </w:r>
            <w:r w:rsidR="00501BD7" w:rsidRPr="00501BD7">
              <w:rPr>
                <w:rFonts w:ascii="ＭＳ 明朝" w:eastAsia="ＭＳ 明朝" w:hAnsi="ＭＳ 明朝" w:cs="Adobe Song Std L" w:hint="eastAsia"/>
                <w:szCs w:val="21"/>
              </w:rPr>
              <w:t>，身の</w:t>
            </w:r>
            <w:r w:rsidR="00CA2FCC">
              <w:rPr>
                <w:rFonts w:ascii="ＭＳ 明朝" w:eastAsia="ＭＳ 明朝" w:hAnsi="ＭＳ 明朝" w:cs="Adobe Song Std L" w:hint="eastAsia"/>
                <w:szCs w:val="21"/>
              </w:rPr>
              <w:t>まわ</w:t>
            </w:r>
            <w:r w:rsidR="00501BD7" w:rsidRPr="00501BD7">
              <w:rPr>
                <w:rFonts w:ascii="ＭＳ 明朝" w:eastAsia="ＭＳ 明朝" w:hAnsi="ＭＳ 明朝" w:cs="Adobe Song Std L" w:hint="eastAsia"/>
                <w:szCs w:val="21"/>
              </w:rPr>
              <w:t>りの疑問や歴史的な事実から出発し，解決すべき問題を数学的に焦点化し，発問と考察</w:t>
            </w:r>
            <w:r w:rsidR="00501BD7">
              <w:rPr>
                <w:rFonts w:ascii="ＭＳ 明朝" w:eastAsia="ＭＳ 明朝" w:hAnsi="ＭＳ 明朝" w:cs="Adobe Song Std L" w:hint="eastAsia"/>
                <w:szCs w:val="21"/>
              </w:rPr>
              <w:t>を繰り返しながら対話的解決を図ることができるよう設計されている</w:t>
            </w:r>
            <w:r w:rsidR="00501BD7" w:rsidRPr="00501BD7">
              <w:rPr>
                <w:rFonts w:ascii="ＭＳ 明朝" w:eastAsia="ＭＳ 明朝" w:hAnsi="ＭＳ 明朝" w:cs="Adobe Song Std L" w:hint="eastAsia"/>
                <w:szCs w:val="21"/>
              </w:rPr>
              <w:t>。また，</w:t>
            </w:r>
            <w:r w:rsidR="00501BD7">
              <w:rPr>
                <w:rFonts w:ascii="ＭＳ 明朝" w:eastAsia="ＭＳ 明朝" w:hAnsi="ＭＳ 明朝" w:cs="Adobe Song Std L" w:hint="eastAsia"/>
                <w:szCs w:val="21"/>
              </w:rPr>
              <w:t>すべての題材が見開きで構成されており，展開が分かりやすいように工夫されている</w:t>
            </w:r>
            <w:r w:rsidR="00501BD7" w:rsidRPr="00501BD7">
              <w:rPr>
                <w:rFonts w:ascii="ＭＳ 明朝" w:eastAsia="ＭＳ 明朝" w:hAnsi="ＭＳ 明朝" w:cs="Adobe Song Std L" w:hint="eastAsia"/>
                <w:szCs w:val="21"/>
              </w:rPr>
              <w:t>。</w:t>
            </w:r>
            <w:r w:rsidR="00501BD7" w:rsidRPr="001274DE">
              <w:rPr>
                <w:rFonts w:ascii="ＭＳ 明朝" w:eastAsia="ＭＳ 明朝" w:hAnsi="ＭＳ 明朝" w:cs="Adobe Song Std L"/>
                <w:szCs w:val="21"/>
              </w:rPr>
              <w:t>（</w:t>
            </w:r>
            <w:r w:rsidR="00501BD7">
              <w:rPr>
                <w:rFonts w:ascii="ＭＳ 明朝" w:eastAsia="ＭＳ 明朝" w:hAnsi="ＭＳ 明朝" w:cs="Adobe Song Std L"/>
                <w:szCs w:val="21"/>
              </w:rPr>
              <w:t>p.</w:t>
            </w:r>
            <w:r w:rsidR="00CA2FCC">
              <w:rPr>
                <w:rFonts w:ascii="ＭＳ 明朝" w:eastAsia="ＭＳ 明朝" w:hAnsi="ＭＳ 明朝" w:cs="Adobe Song Std L" w:hint="eastAsia"/>
                <w:szCs w:val="21"/>
              </w:rPr>
              <w:t xml:space="preserve"> 150～175</w:t>
            </w:r>
            <w:r w:rsidR="00501BD7" w:rsidRPr="001274DE">
              <w:rPr>
                <w:rFonts w:ascii="ＭＳ 明朝" w:eastAsia="ＭＳ 明朝" w:hAnsi="ＭＳ 明朝" w:cs="Adobe Song Std L"/>
                <w:szCs w:val="21"/>
              </w:rPr>
              <w:t>）</w:t>
            </w:r>
          </w:p>
          <w:p w14:paraId="7961542C" w14:textId="6CC748D0"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w:t>
            </w:r>
            <w:r w:rsidR="00774456" w:rsidRPr="00774456">
              <w:rPr>
                <w:rFonts w:ascii="ＭＳ 明朝" w:eastAsia="ＭＳ 明朝" w:hAnsi="ＭＳ 明朝" w:cs="Adobe Song Std L"/>
                <w:szCs w:val="21"/>
              </w:rPr>
              <w:t>学習内容を数学的に探究させる内容や，学習内容を日常や社会の事象に活用させる内容（「探究」）が多数取り上げられており，生徒の興味・関心を高める数学的活動を重視した</w:t>
            </w:r>
            <w:r w:rsidR="00A75738">
              <w:rPr>
                <w:rFonts w:ascii="ＭＳ 明朝" w:eastAsia="ＭＳ 明朝" w:hAnsi="ＭＳ 明朝" w:cs="Adobe Song Std L" w:hint="eastAsia"/>
                <w:szCs w:val="21"/>
              </w:rPr>
              <w:t>題材</w:t>
            </w:r>
            <w:r w:rsidRPr="00DA0F64">
              <w:rPr>
                <w:rFonts w:ascii="ＭＳ 明朝" w:eastAsia="ＭＳ 明朝" w:hAnsi="ＭＳ 明朝" w:cs="Adobe Song Std L"/>
                <w:szCs w:val="21"/>
              </w:rPr>
              <w:t>が扱われている。</w:t>
            </w:r>
          </w:p>
          <w:p w14:paraId="25E720C2" w14:textId="10A3E6D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●「発展的な学習内容」は，関連する内容と同じ章に掲載されていて，生徒や学校の実態に応じて無理なく扱えるよう工夫されている。</w:t>
            </w:r>
          </w:p>
        </w:tc>
      </w:tr>
      <w:tr w:rsidR="003D33EB" w:rsidRPr="002C0F0A" w14:paraId="02D08B93" w14:textId="72477F84" w:rsidTr="00A75738">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667564E8"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0ACF378" w14:textId="43C2315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359F97A6" w14:textId="15BB59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●学習指導要領に示された「内容」と「内容の取扱い」に準拠していて，生徒の実態に即し</w:t>
            </w:r>
            <w:r w:rsidRPr="00DA0F64">
              <w:rPr>
                <w:rFonts w:ascii="ＭＳ 明朝" w:eastAsia="ＭＳ 明朝" w:hAnsi="ＭＳ 明朝" w:cs="Adobe Song Std L"/>
                <w:color w:val="000000" w:themeColor="text1"/>
                <w:szCs w:val="21"/>
              </w:rPr>
              <w:t>た</w:t>
            </w:r>
            <w:r w:rsidRPr="00DA0F64">
              <w:rPr>
                <w:rFonts w:ascii="ＭＳ 明朝" w:eastAsia="ＭＳ 明朝" w:hAnsi="ＭＳ 明朝" w:cs="Adobe Song Std L"/>
                <w:szCs w:val="21"/>
              </w:rPr>
              <w:t>必要かつ十分な内容が適切に組織・配列されている。</w:t>
            </w:r>
          </w:p>
          <w:p w14:paraId="46899418" w14:textId="4F5BF2B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●例・例題→問→問題（節末）→練習問題（章末）の順に，段階を追って一定レベルの問題が過不足なく取り上げられており，その分量も適切である。</w:t>
            </w:r>
          </w:p>
          <w:p w14:paraId="27033FED" w14:textId="157C64F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●本文の問の末尾に問題（節末）と練習問題（章末）へのリンクマークが付され，追加問題が扱いやすくなるように工夫されている。</w:t>
            </w:r>
          </w:p>
          <w:p w14:paraId="2EB4AA7C" w14:textId="1C299393"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●巻末には，「</w:t>
            </w:r>
            <w:r w:rsidR="00774456">
              <w:rPr>
                <w:rFonts w:ascii="ＭＳ 明朝" w:eastAsia="ＭＳ 明朝" w:hAnsi="ＭＳ 明朝" w:cs="Adobe Song Std L" w:hint="eastAsia"/>
                <w:szCs w:val="21"/>
              </w:rPr>
              <w:t>思考の戦略編</w:t>
            </w:r>
            <w:r w:rsidRPr="00DA0F64">
              <w:rPr>
                <w:rFonts w:ascii="ＭＳ 明朝" w:eastAsia="ＭＳ 明朝" w:hAnsi="ＭＳ 明朝" w:cs="Adobe Song Std L"/>
                <w:szCs w:val="21"/>
              </w:rPr>
              <w:t>」が設けられており，進んだ生徒への配慮もされている。</w:t>
            </w:r>
          </w:p>
          <w:p w14:paraId="63FD2DBD" w14:textId="3BC9B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●巻末には，「中学校で学んだ基本事項」として，高校数学に関連する中学校の学習内容がコンパクトにまとめられている。</w:t>
            </w:r>
          </w:p>
        </w:tc>
      </w:tr>
      <w:tr w:rsidR="003D33EB" w:rsidRPr="002C0F0A" w14:paraId="0190FB83" w14:textId="134720AF" w:rsidTr="00A75738">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3D33EB" w:rsidRDefault="003D33EB" w:rsidP="00DA0F64">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3D33EB" w:rsidRPr="002C0F0A" w:rsidRDefault="003D33EB" w:rsidP="00DA0F64">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03D0C82" w14:textId="588296E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●全編を通して本文の理解を助けるように，イラスト，写真，図が適切に用いられている。</w:t>
            </w:r>
          </w:p>
          <w:p w14:paraId="61159E08"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●必要に応じて色を使い，視覚的な内容理解ができるよう配慮されている。</w:t>
            </w:r>
          </w:p>
          <w:p w14:paraId="155C8BB3"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●用語・記号は統一されており，記述の仕方も適切である。</w:t>
            </w:r>
          </w:p>
          <w:p w14:paraId="1A680FFF" w14:textId="3B01117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●ICT機器を利用すると効果的な箇所に</w:t>
            </w:r>
            <w:r w:rsidR="00774456">
              <w:rPr>
                <w:rFonts w:ascii="ＭＳ 明朝" w:eastAsia="ＭＳ 明朝" w:hAnsi="ＭＳ 明朝" w:cs="Adobe Song Std L" w:hint="eastAsia"/>
                <w:szCs w:val="21"/>
              </w:rPr>
              <w:t>QR</w:t>
            </w:r>
            <w:r w:rsidRPr="00DA0F64">
              <w:rPr>
                <w:rFonts w:ascii="ＭＳ 明朝" w:eastAsia="ＭＳ 明朝" w:hAnsi="ＭＳ 明朝" w:cs="Adobe Song Std L"/>
                <w:szCs w:val="21"/>
              </w:rPr>
              <w:t>コンテンツが用意されており，生徒が柔軟に学習を進めることができるよう配慮されている。</w:t>
            </w:r>
          </w:p>
          <w:p w14:paraId="253A656E" w14:textId="3869CC2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●章の扉では，</w:t>
            </w:r>
            <w:r w:rsidR="00774456" w:rsidRPr="00774456">
              <w:rPr>
                <w:rFonts w:ascii="ＭＳ 明朝" w:eastAsia="ＭＳ 明朝" w:hAnsi="ＭＳ 明朝" w:cs="Adobe Song Std L"/>
                <w:szCs w:val="21"/>
              </w:rPr>
              <w:t>章の学習内容と関わりの深い数学者を取り上げ，その数学者の言葉を紹介し，数学の発展してきた様子を学べるよう工夫されている</w:t>
            </w:r>
            <w:r w:rsidRPr="00DA0F64">
              <w:rPr>
                <w:rFonts w:ascii="ＭＳ 明朝" w:eastAsia="ＭＳ 明朝" w:hAnsi="ＭＳ 明朝" w:cs="Adobe Song Std L"/>
                <w:szCs w:val="21"/>
              </w:rPr>
              <w:t>。</w:t>
            </w:r>
          </w:p>
          <w:p w14:paraId="4C5204DA" w14:textId="45DDF1FA"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●教科書を支援する指導書や周辺教材などが充実しており，指導しやすい教科書である。</w:t>
            </w:r>
          </w:p>
        </w:tc>
      </w:tr>
      <w:tr w:rsidR="003D33EB" w:rsidRPr="002C0F0A" w14:paraId="7813244F" w14:textId="4606CFD1" w:rsidTr="00A75738">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320D7BAD" w14:textId="775F5E0C"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A4E6055" w14:textId="6E98D6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15F73D69"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●活字はユニバーサルデザインで美しく，写真，挿し絵も鮮明で効果的である。</w:t>
            </w:r>
          </w:p>
          <w:p w14:paraId="48FBAC67"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●製本は堅牢で，開きやすい様式である。</w:t>
            </w:r>
          </w:p>
          <w:p w14:paraId="7A11BB4A" w14:textId="78AC7F9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●図やグラフの色使いなど，色覚特性への配慮を含むユニバーサルデザインとなっており，全ページにわたって配色を工夫するなど，だれもが見やすい紙面になっている。</w:t>
            </w:r>
          </w:p>
          <w:p w14:paraId="154AF7DA" w14:textId="213D9E8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●本文の用紙には再生紙と植物油インキを使用し，印刷業界団体が定めた環境配慮基準を満たす「グリーンプリンティング認定工場」で印刷するなど，地球環境や資源に及ぼす影響も考慮されている。</w:t>
            </w:r>
          </w:p>
        </w:tc>
      </w:tr>
      <w:tr w:rsidR="003D33EB" w:rsidRPr="002C0F0A" w14:paraId="558625F4" w14:textId="7A170A24" w:rsidTr="00A75738">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156F78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1ED7D53B"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0A142" w14:textId="77777777" w:rsidR="00D32A58" w:rsidRDefault="00D32A58" w:rsidP="00863C86">
      <w:r>
        <w:separator/>
      </w:r>
    </w:p>
  </w:endnote>
  <w:endnote w:type="continuationSeparator" w:id="0">
    <w:p w14:paraId="7CF9ECF2" w14:textId="77777777" w:rsidR="00D32A58" w:rsidRDefault="00D32A58" w:rsidP="0086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F957" w14:textId="77777777" w:rsidR="00D32A58" w:rsidRDefault="00D32A58" w:rsidP="00863C86">
      <w:r>
        <w:separator/>
      </w:r>
    </w:p>
  </w:footnote>
  <w:footnote w:type="continuationSeparator" w:id="0">
    <w:p w14:paraId="055A1F3C" w14:textId="77777777" w:rsidR="00D32A58" w:rsidRDefault="00D32A58" w:rsidP="0086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A"/>
    <w:rsid w:val="000A12C8"/>
    <w:rsid w:val="001274DE"/>
    <w:rsid w:val="001B2429"/>
    <w:rsid w:val="00227126"/>
    <w:rsid w:val="002A4D90"/>
    <w:rsid w:val="002C0F0A"/>
    <w:rsid w:val="003D33EB"/>
    <w:rsid w:val="004E15A2"/>
    <w:rsid w:val="004F3FDD"/>
    <w:rsid w:val="00501BD7"/>
    <w:rsid w:val="005617E3"/>
    <w:rsid w:val="0057346C"/>
    <w:rsid w:val="00586158"/>
    <w:rsid w:val="005A0DA3"/>
    <w:rsid w:val="00614240"/>
    <w:rsid w:val="00720BBB"/>
    <w:rsid w:val="00774456"/>
    <w:rsid w:val="00775649"/>
    <w:rsid w:val="007B2E68"/>
    <w:rsid w:val="00863C86"/>
    <w:rsid w:val="0091114A"/>
    <w:rsid w:val="00A75738"/>
    <w:rsid w:val="00AA65DB"/>
    <w:rsid w:val="00B10B1F"/>
    <w:rsid w:val="00CA2FCC"/>
    <w:rsid w:val="00CF177D"/>
    <w:rsid w:val="00D0453D"/>
    <w:rsid w:val="00D32A58"/>
    <w:rsid w:val="00DA0F64"/>
    <w:rsid w:val="00E31D0C"/>
    <w:rsid w:val="00E80AEF"/>
    <w:rsid w:val="00EA719B"/>
    <w:rsid w:val="00EE771B"/>
    <w:rsid w:val="00F177E6"/>
    <w:rsid w:val="00F61F45"/>
    <w:rsid w:val="00F869E1"/>
    <w:rsid w:val="00FC02B1"/>
    <w:rsid w:val="00FC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C86"/>
    <w:pPr>
      <w:tabs>
        <w:tab w:val="center" w:pos="4252"/>
        <w:tab w:val="right" w:pos="8504"/>
      </w:tabs>
      <w:snapToGrid w:val="0"/>
    </w:pPr>
  </w:style>
  <w:style w:type="character" w:customStyle="1" w:styleId="a4">
    <w:name w:val="ヘッダー (文字)"/>
    <w:basedOn w:val="a0"/>
    <w:link w:val="a3"/>
    <w:uiPriority w:val="99"/>
    <w:rsid w:val="00863C86"/>
  </w:style>
  <w:style w:type="paragraph" w:styleId="a5">
    <w:name w:val="footer"/>
    <w:basedOn w:val="a"/>
    <w:link w:val="a6"/>
    <w:uiPriority w:val="99"/>
    <w:unhideWhenUsed/>
    <w:rsid w:val="00863C86"/>
    <w:pPr>
      <w:tabs>
        <w:tab w:val="center" w:pos="4252"/>
        <w:tab w:val="right" w:pos="8504"/>
      </w:tabs>
      <w:snapToGrid w:val="0"/>
    </w:pPr>
  </w:style>
  <w:style w:type="character" w:customStyle="1" w:styleId="a6">
    <w:name w:val="フッター (文字)"/>
    <w:basedOn w:val="a0"/>
    <w:link w:val="a5"/>
    <w:uiPriority w:val="99"/>
    <w:rsid w:val="0086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D1962-A912-4CBF-A79C-E0B98062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2</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敬仁 名倉</cp:lastModifiedBy>
  <cp:revision>8</cp:revision>
  <dcterms:created xsi:type="dcterms:W3CDTF">2022-03-24T10:01:00Z</dcterms:created>
  <dcterms:modified xsi:type="dcterms:W3CDTF">2025-03-06T09:01:00Z</dcterms:modified>
</cp:coreProperties>
</file>