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D292" w14:textId="049B8817"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5A3861">
        <w:rPr>
          <w:rFonts w:ascii="ＭＳ Ｐゴシック" w:eastAsia="ＭＳ Ｐゴシック" w:hAnsi="ＭＳ Ｐゴシック" w:hint="eastAsia"/>
          <w:sz w:val="18"/>
          <w:szCs w:val="18"/>
          <w:bdr w:val="single" w:sz="4" w:space="0" w:color="auto"/>
        </w:rPr>
        <w:t>8</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3C988BEA" w:rsidR="002C0F0A" w:rsidRPr="007B2E68" w:rsidRDefault="005A3861" w:rsidP="002C0F0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改訂版 </w:t>
      </w:r>
      <w:r w:rsidR="002C0F0A" w:rsidRPr="007B2E68">
        <w:rPr>
          <w:rFonts w:ascii="ＭＳ Ｐゴシック" w:eastAsia="ＭＳ Ｐゴシック" w:hAnsi="ＭＳ Ｐゴシック" w:hint="eastAsia"/>
          <w:sz w:val="20"/>
          <w:szCs w:val="20"/>
        </w:rPr>
        <w:t>数学Ⅰ</w:t>
      </w:r>
      <w:r w:rsidR="007B2E68" w:rsidRPr="007B2E68">
        <w:rPr>
          <w:rFonts w:ascii="ＭＳ Ｐゴシック" w:eastAsia="ＭＳ Ｐゴシック" w:hAnsi="ＭＳ Ｐゴシック" w:hint="eastAsia"/>
          <w:sz w:val="20"/>
          <w:szCs w:val="20"/>
        </w:rPr>
        <w:t xml:space="preserve"> </w:t>
      </w:r>
      <w:r w:rsidR="002C0F0A" w:rsidRPr="007B2E68">
        <w:rPr>
          <w:rFonts w:ascii="ＭＳ Ｐゴシック" w:eastAsia="ＭＳ Ｐゴシック" w:hAnsi="ＭＳ Ｐゴシック"/>
          <w:sz w:val="20"/>
          <w:szCs w:val="20"/>
        </w:rPr>
        <w:t>Advanced</w:t>
      </w:r>
      <w:r w:rsidR="007B2E68" w:rsidRPr="007B2E68">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2東書・数Ⅰ</w:t>
      </w:r>
      <w:r>
        <w:rPr>
          <w:rFonts w:ascii="ＭＳ Ｐゴシック" w:eastAsia="ＭＳ Ｐゴシック" w:hAnsi="ＭＳ Ｐゴシック" w:hint="eastAsia"/>
          <w:sz w:val="20"/>
          <w:szCs w:val="20"/>
        </w:rPr>
        <w:t>002-901</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5F7943">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3D33EB"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0D10AFC9" w14:textId="6622F24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●基礎的・基本的な事項がコンパクトに網羅されている。また，丁寧な記述とスモールステップな問題配列で，スムーズに授業が展開できるように工夫して編集されている。</w:t>
            </w:r>
          </w:p>
          <w:p w14:paraId="543473F5" w14:textId="5B3F675F" w:rsidR="003D33EB"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●数学Ⅰ「1章</w:t>
            </w:r>
            <w:r>
              <w:rPr>
                <w:rFonts w:ascii="ＭＳ 明朝" w:eastAsia="ＭＳ 明朝" w:hAnsi="ＭＳ 明朝" w:cs="Adobe Song Std L" w:hint="eastAsia"/>
                <w:szCs w:val="21"/>
              </w:rPr>
              <w:t xml:space="preserve">　</w:t>
            </w:r>
            <w:r w:rsidRPr="00DA0F64">
              <w:rPr>
                <w:rFonts w:ascii="ＭＳ 明朝" w:eastAsia="ＭＳ 明朝" w:hAnsi="ＭＳ 明朝" w:cs="Adobe Song Std L"/>
                <w:szCs w:val="21"/>
              </w:rPr>
              <w:t>数と式」では，多項式の積の順序を考えて式を展開する場面や，それぞれの文字に着目して式を因数分解する場面が設けられており，式を目的に応じて適切に変形する力を養うように工夫されている。（p.13,18,19）</w:t>
            </w:r>
          </w:p>
          <w:p w14:paraId="2A6D8B05" w14:textId="06DADD07" w:rsidR="00EA719B" w:rsidRPr="00DA0F64" w:rsidRDefault="00EA719B" w:rsidP="00AA65D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●数学Ⅰ「</w:t>
            </w:r>
            <w:r>
              <w:rPr>
                <w:rFonts w:ascii="ＭＳ 明朝" w:eastAsia="ＭＳ 明朝" w:hAnsi="ＭＳ 明朝" w:cs="Adobe Song Std L"/>
                <w:szCs w:val="21"/>
              </w:rPr>
              <w:t>2</w:t>
            </w:r>
            <w:r w:rsidRPr="00DA0F64">
              <w:rPr>
                <w:rFonts w:ascii="ＭＳ 明朝" w:eastAsia="ＭＳ 明朝" w:hAnsi="ＭＳ 明朝" w:cs="Adobe Song Std L"/>
                <w:szCs w:val="21"/>
              </w:rPr>
              <w:t>章</w:t>
            </w:r>
            <w:r>
              <w:rPr>
                <w:rFonts w:ascii="ＭＳ 明朝" w:eastAsia="ＭＳ 明朝" w:hAnsi="ＭＳ 明朝" w:cs="Adobe Song Std L" w:hint="eastAsia"/>
                <w:szCs w:val="21"/>
              </w:rPr>
              <w:t xml:space="preserve">　集合と論証</w:t>
            </w:r>
            <w:r w:rsidRPr="00DA0F64">
              <w:rPr>
                <w:rFonts w:ascii="ＭＳ 明朝" w:eastAsia="ＭＳ 明朝" w:hAnsi="ＭＳ 明朝" w:cs="Adobe Song Std L"/>
                <w:szCs w:val="21"/>
              </w:rPr>
              <w:t>」では，</w:t>
            </w:r>
            <w:r w:rsidRPr="00EA719B">
              <w:rPr>
                <w:rFonts w:ascii="ＭＳ 明朝" w:eastAsia="ＭＳ 明朝" w:hAnsi="ＭＳ 明朝" w:cs="Adobe Song Std L" w:hint="eastAsia"/>
                <w:szCs w:val="21"/>
              </w:rPr>
              <w:t>集合および命題を学習する際に，</w:t>
            </w:r>
            <w:r>
              <w:rPr>
                <w:rFonts w:ascii="ＭＳ 明朝" w:eastAsia="ＭＳ 明朝" w:hAnsi="ＭＳ 明朝" w:cs="Adobe Song Std L" w:hint="eastAsia"/>
                <w:szCs w:val="21"/>
              </w:rPr>
              <w:t>数直線や図表示と関連付けて直感的に理解することができるように工夫されている</w:t>
            </w:r>
            <w:r w:rsidRPr="00EA719B">
              <w:rPr>
                <w:rFonts w:ascii="ＭＳ 明朝" w:eastAsia="ＭＳ 明朝" w:hAnsi="ＭＳ 明朝" w:cs="Adobe Song Std L" w:hint="eastAsia"/>
                <w:szCs w:val="21"/>
              </w:rPr>
              <w:t>。（</w:t>
            </w:r>
            <w:r>
              <w:rPr>
                <w:rFonts w:ascii="ＭＳ 明朝" w:eastAsia="ＭＳ 明朝" w:hAnsi="ＭＳ 明朝" w:cs="Adobe Song Std L"/>
                <w:szCs w:val="21"/>
              </w:rPr>
              <w:t>p.</w:t>
            </w:r>
            <w:r w:rsidR="00AA65DB">
              <w:rPr>
                <w:rFonts w:ascii="ＭＳ 明朝" w:eastAsia="ＭＳ 明朝" w:hAnsi="ＭＳ 明朝" w:cs="Adobe Song Std L"/>
                <w:szCs w:val="21"/>
              </w:rPr>
              <w:t>52</w:t>
            </w:r>
            <w:r w:rsidR="00AA65DB">
              <w:rPr>
                <w:rFonts w:ascii="ＭＳ 明朝" w:eastAsia="ＭＳ 明朝" w:hAnsi="ＭＳ 明朝" w:cs="Adobe Song Std L" w:hint="eastAsia"/>
                <w:szCs w:val="21"/>
              </w:rPr>
              <w:t>～6</w:t>
            </w:r>
            <w:r w:rsidR="00AA65DB">
              <w:rPr>
                <w:rFonts w:ascii="ＭＳ 明朝" w:eastAsia="ＭＳ 明朝" w:hAnsi="ＭＳ 明朝" w:cs="Adobe Song Std L"/>
                <w:szCs w:val="21"/>
              </w:rPr>
              <w:t>5</w:t>
            </w:r>
            <w:r w:rsidRPr="00EA719B">
              <w:rPr>
                <w:rFonts w:ascii="ＭＳ 明朝" w:eastAsia="ＭＳ 明朝" w:hAnsi="ＭＳ 明朝" w:cs="Adobe Song Std L"/>
                <w:szCs w:val="21"/>
              </w:rPr>
              <w:t>）</w:t>
            </w:r>
          </w:p>
          <w:p w14:paraId="7B5151D8" w14:textId="0158E0A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●数学Ⅰ「3章</w:t>
            </w:r>
            <w:r>
              <w:rPr>
                <w:rFonts w:ascii="ＭＳ 明朝" w:eastAsia="ＭＳ 明朝" w:hAnsi="ＭＳ 明朝" w:cs="Adobe Song Std L" w:hint="eastAsia"/>
                <w:szCs w:val="21"/>
              </w:rPr>
              <w:t xml:space="preserve">　</w:t>
            </w:r>
            <w:r w:rsidRPr="00DA0F64">
              <w:rPr>
                <w:rFonts w:ascii="ＭＳ 明朝" w:eastAsia="ＭＳ 明朝" w:hAnsi="ＭＳ 明朝" w:cs="Adobe Song Std L"/>
                <w:szCs w:val="21"/>
              </w:rPr>
              <w:t>2次関数」では，定義域がある範囲に制限された2次関数の最大値や最小値を求める際に，定義域の両端と放物線の軸の位置の関係についての着眼点がまとめられており，内容の理解が深まるように工夫されている。（p.</w:t>
            </w:r>
            <w:r w:rsidR="000410BF">
              <w:rPr>
                <w:rFonts w:ascii="ＭＳ 明朝" w:eastAsia="ＭＳ 明朝" w:hAnsi="ＭＳ 明朝" w:cs="Adobe Song Std L" w:hint="eastAsia"/>
                <w:szCs w:val="21"/>
              </w:rPr>
              <w:t>90</w:t>
            </w:r>
            <w:r w:rsidRPr="00DA0F64">
              <w:rPr>
                <w:rFonts w:ascii="ＭＳ 明朝" w:eastAsia="ＭＳ 明朝" w:hAnsi="ＭＳ 明朝" w:cs="Adobe Song Std L"/>
                <w:szCs w:val="21"/>
              </w:rPr>
              <w:t>～</w:t>
            </w:r>
            <w:r w:rsidR="000410BF">
              <w:rPr>
                <w:rFonts w:ascii="ＭＳ 明朝" w:eastAsia="ＭＳ 明朝" w:hAnsi="ＭＳ 明朝" w:cs="Adobe Song Std L" w:hint="eastAsia"/>
                <w:szCs w:val="21"/>
              </w:rPr>
              <w:t>92</w:t>
            </w:r>
            <w:r w:rsidRPr="00DA0F64">
              <w:rPr>
                <w:rFonts w:ascii="ＭＳ 明朝" w:eastAsia="ＭＳ 明朝" w:hAnsi="ＭＳ 明朝" w:cs="Adobe Song Std L"/>
                <w:szCs w:val="21"/>
              </w:rPr>
              <w:t>）</w:t>
            </w:r>
          </w:p>
          <w:p w14:paraId="79BDD57C" w14:textId="16905753"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●数学Ⅰ「4章</w:t>
            </w:r>
            <w:r>
              <w:rPr>
                <w:rFonts w:ascii="ＭＳ 明朝" w:eastAsia="ＭＳ 明朝" w:hAnsi="ＭＳ 明朝" w:cs="Adobe Song Std L" w:hint="eastAsia"/>
                <w:szCs w:val="21"/>
              </w:rPr>
              <w:t xml:space="preserve">　</w:t>
            </w:r>
            <w:r w:rsidRPr="00DA0F64">
              <w:rPr>
                <w:rFonts w:ascii="ＭＳ 明朝" w:eastAsia="ＭＳ 明朝" w:hAnsi="ＭＳ 明朝" w:cs="Adobe Song Std L"/>
                <w:szCs w:val="21"/>
              </w:rPr>
              <w:t>図形と計量」では，</w:t>
            </w:r>
            <w:r w:rsidR="000410BF">
              <w:rPr>
                <w:rFonts w:ascii="ＭＳ 明朝" w:eastAsia="ＭＳ 明朝" w:hAnsi="ＭＳ 明朝" w:cs="Adobe Song Std L" w:hint="eastAsia"/>
                <w:szCs w:val="21"/>
              </w:rPr>
              <w:t>鈍角の三角比への拡張を，鋭角の三角比の考察を通して取り上げており，発展的，統合的な理解を得ることができるように工夫されている</w:t>
            </w:r>
            <w:r w:rsidRPr="00DA0F64">
              <w:rPr>
                <w:rFonts w:ascii="ＭＳ 明朝" w:eastAsia="ＭＳ 明朝" w:hAnsi="ＭＳ 明朝" w:cs="Adobe Song Std L"/>
                <w:szCs w:val="21"/>
              </w:rPr>
              <w:t>。（p.1</w:t>
            </w:r>
            <w:r w:rsidR="000410BF">
              <w:rPr>
                <w:rFonts w:ascii="ＭＳ 明朝" w:eastAsia="ＭＳ 明朝" w:hAnsi="ＭＳ 明朝" w:cs="Adobe Song Std L" w:hint="eastAsia"/>
                <w:szCs w:val="21"/>
              </w:rPr>
              <w:t>39</w:t>
            </w:r>
            <w:r w:rsidRPr="00DA0F64">
              <w:rPr>
                <w:rFonts w:ascii="ＭＳ 明朝" w:eastAsia="ＭＳ 明朝" w:hAnsi="ＭＳ 明朝" w:cs="Adobe Song Std L"/>
                <w:szCs w:val="21"/>
              </w:rPr>
              <w:t>～148）</w:t>
            </w:r>
          </w:p>
          <w:p w14:paraId="02B3E65E" w14:textId="1EB4B42F" w:rsidR="003D33EB" w:rsidRPr="00DA0F64" w:rsidRDefault="003D33EB" w:rsidP="00EA719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w:t>
            </w:r>
            <w:r w:rsidR="00863C86">
              <w:rPr>
                <w:rFonts w:ascii="ＭＳ 明朝" w:eastAsia="ＭＳ 明朝" w:hAnsi="ＭＳ 明朝" w:cs="Adobe Song Std L"/>
                <w:szCs w:val="21"/>
              </w:rPr>
              <w:t>数学</w:t>
            </w:r>
            <w:r w:rsidR="00EA719B">
              <w:rPr>
                <w:rFonts w:ascii="ＭＳ 明朝" w:eastAsia="ＭＳ 明朝" w:hAnsi="ＭＳ 明朝" w:cs="Adobe Song Std L" w:hint="eastAsia"/>
                <w:szCs w:val="21"/>
              </w:rPr>
              <w:t>Ⅰ</w:t>
            </w:r>
            <w:r w:rsidRPr="00DA0F64">
              <w:rPr>
                <w:rFonts w:ascii="ＭＳ 明朝" w:eastAsia="ＭＳ 明朝" w:hAnsi="ＭＳ 明朝" w:cs="Adobe Song Std L"/>
                <w:szCs w:val="21"/>
              </w:rPr>
              <w:t>「</w:t>
            </w:r>
            <w:r w:rsidR="00EA719B">
              <w:rPr>
                <w:rFonts w:ascii="ＭＳ 明朝" w:eastAsia="ＭＳ 明朝" w:hAnsi="ＭＳ 明朝" w:cs="Adobe Song Std L"/>
                <w:szCs w:val="21"/>
              </w:rPr>
              <w:t>5</w:t>
            </w:r>
            <w:r w:rsidRPr="00DA0F64">
              <w:rPr>
                <w:rFonts w:ascii="ＭＳ 明朝" w:eastAsia="ＭＳ 明朝" w:hAnsi="ＭＳ 明朝" w:cs="Adobe Song Std L"/>
                <w:szCs w:val="21"/>
              </w:rPr>
              <w:t>章</w:t>
            </w:r>
            <w:r>
              <w:rPr>
                <w:rFonts w:ascii="ＭＳ 明朝" w:eastAsia="ＭＳ 明朝" w:hAnsi="ＭＳ 明朝" w:cs="Adobe Song Std L" w:hint="eastAsia"/>
                <w:szCs w:val="21"/>
              </w:rPr>
              <w:t xml:space="preserve">　</w:t>
            </w:r>
            <w:r w:rsidR="00EA719B">
              <w:rPr>
                <w:rFonts w:ascii="ＭＳ 明朝" w:eastAsia="ＭＳ 明朝" w:hAnsi="ＭＳ 明朝" w:cs="Adobe Song Std L" w:hint="eastAsia"/>
                <w:szCs w:val="21"/>
              </w:rPr>
              <w:t>データの分析</w:t>
            </w:r>
            <w:r w:rsidRPr="00DA0F64">
              <w:rPr>
                <w:rFonts w:ascii="ＭＳ 明朝" w:eastAsia="ＭＳ 明朝" w:hAnsi="ＭＳ 明朝" w:cs="Adobe Song Std L"/>
                <w:szCs w:val="21"/>
              </w:rPr>
              <w:t>」では，</w:t>
            </w:r>
            <w:r w:rsidR="00AA65DB" w:rsidRPr="00AA65DB">
              <w:rPr>
                <w:rFonts w:ascii="ＭＳ 明朝" w:eastAsia="ＭＳ 明朝" w:hAnsi="ＭＳ 明朝" w:cs="Adobe Song Std L" w:hint="eastAsia"/>
                <w:szCs w:val="21"/>
              </w:rPr>
              <w:t>変量を変換したときの平均値や分散・標準</w:t>
            </w:r>
            <w:r w:rsidR="00AA65DB">
              <w:rPr>
                <w:rFonts w:ascii="ＭＳ 明朝" w:eastAsia="ＭＳ 明朝" w:hAnsi="ＭＳ 明朝" w:cs="Adobe Song Std L" w:hint="eastAsia"/>
                <w:szCs w:val="21"/>
              </w:rPr>
              <w:t>偏差の変化を，日常の事例を交えながら丁寧に取り上げており</w:t>
            </w:r>
            <w:r w:rsidR="00AA65DB" w:rsidRPr="00AA65DB">
              <w:rPr>
                <w:rFonts w:ascii="ＭＳ 明朝" w:eastAsia="ＭＳ 明朝" w:hAnsi="ＭＳ 明朝" w:cs="Adobe Song Std L" w:hint="eastAsia"/>
                <w:szCs w:val="21"/>
              </w:rPr>
              <w:t>，これらの性質について理解が深まるように</w:t>
            </w:r>
            <w:r w:rsidR="00AA65DB">
              <w:rPr>
                <w:rFonts w:ascii="ＭＳ 明朝" w:eastAsia="ＭＳ 明朝" w:hAnsi="ＭＳ 明朝" w:cs="Adobe Song Std L" w:hint="eastAsia"/>
                <w:szCs w:val="21"/>
              </w:rPr>
              <w:t>工夫されている</w:t>
            </w:r>
            <w:r w:rsidR="00AA65DB" w:rsidRPr="00AA65DB">
              <w:rPr>
                <w:rFonts w:ascii="ＭＳ 明朝" w:eastAsia="ＭＳ 明朝" w:hAnsi="ＭＳ 明朝" w:cs="Adobe Song Std L" w:hint="eastAsia"/>
                <w:szCs w:val="21"/>
              </w:rPr>
              <w:t>。（</w:t>
            </w:r>
            <w:r w:rsidR="00AA65DB">
              <w:rPr>
                <w:rFonts w:ascii="ＭＳ 明朝" w:eastAsia="ＭＳ 明朝" w:hAnsi="ＭＳ 明朝" w:cs="Adobe Song Std L"/>
                <w:szCs w:val="21"/>
              </w:rPr>
              <w:t>p.173</w:t>
            </w:r>
            <w:r w:rsidR="00AA65DB">
              <w:rPr>
                <w:rFonts w:ascii="ＭＳ 明朝" w:eastAsia="ＭＳ 明朝" w:hAnsi="ＭＳ 明朝" w:cs="Adobe Song Std L" w:hint="eastAsia"/>
                <w:szCs w:val="21"/>
              </w:rPr>
              <w:t>～</w:t>
            </w:r>
            <w:r w:rsidR="00AA65DB" w:rsidRPr="00AA65DB">
              <w:rPr>
                <w:rFonts w:ascii="ＭＳ 明朝" w:eastAsia="ＭＳ 明朝" w:hAnsi="ＭＳ 明朝" w:cs="Adobe Song Std L"/>
                <w:szCs w:val="21"/>
              </w:rPr>
              <w:t>174）</w:t>
            </w:r>
          </w:p>
          <w:p w14:paraId="7961542C" w14:textId="2FBD91F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●課題学習として，</w:t>
            </w:r>
            <w:r w:rsidR="000410BF" w:rsidRPr="00DA0F64">
              <w:rPr>
                <w:rFonts w:ascii="ＭＳ 明朝" w:eastAsia="ＭＳ 明朝" w:hAnsi="ＭＳ 明朝" w:cs="Adobe Song Std L"/>
                <w:szCs w:val="21"/>
              </w:rPr>
              <w:t>学習内容を数学的に探究させる内容</w:t>
            </w:r>
            <w:r w:rsidRPr="00DA0F64">
              <w:rPr>
                <w:rFonts w:ascii="ＭＳ 明朝" w:eastAsia="ＭＳ 明朝" w:hAnsi="ＭＳ 明朝" w:cs="Adobe Song Std L"/>
                <w:szCs w:val="21"/>
              </w:rPr>
              <w:t>や，</w:t>
            </w:r>
            <w:r w:rsidR="000410BF" w:rsidRPr="00DA0F64">
              <w:rPr>
                <w:rFonts w:ascii="ＭＳ 明朝" w:eastAsia="ＭＳ 明朝" w:hAnsi="ＭＳ 明朝" w:cs="Adobe Song Std L"/>
                <w:szCs w:val="21"/>
              </w:rPr>
              <w:t>学習内容を日常や社会の事象に活用させる内容</w:t>
            </w:r>
            <w:r w:rsidRPr="00DA0F64">
              <w:rPr>
                <w:rFonts w:ascii="ＭＳ 明朝" w:eastAsia="ＭＳ 明朝" w:hAnsi="ＭＳ 明朝" w:cs="Adobe Song Std L"/>
                <w:szCs w:val="21"/>
              </w:rPr>
              <w:t>（「探究」）が多数取り上げられており，生徒の興味・関心を高める数学的活動を重視した課題が扱われている。</w:t>
            </w:r>
          </w:p>
          <w:p w14:paraId="25E720C2" w14:textId="10A3E6D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●「発展的な学習内容」は，関連する内容と同じ章に掲載されていて，生徒や学校の実態に応じて無理なく扱えるよう工夫されている。</w:t>
            </w:r>
          </w:p>
        </w:tc>
      </w:tr>
      <w:tr w:rsidR="003D33EB" w:rsidRPr="002C0F0A" w14:paraId="02D08B93" w14:textId="72477F84"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667564E8"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0ACF378" w14:textId="43C2315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359F97A6" w14:textId="15BB59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●学習指導要領に示された「内容」と「内容の取扱い」に準拠していて，生徒の実態に即し</w:t>
            </w:r>
            <w:r w:rsidRPr="00DA0F64">
              <w:rPr>
                <w:rFonts w:ascii="ＭＳ 明朝" w:eastAsia="ＭＳ 明朝" w:hAnsi="ＭＳ 明朝" w:cs="Adobe Song Std L"/>
                <w:color w:val="000000" w:themeColor="text1"/>
                <w:szCs w:val="21"/>
              </w:rPr>
              <w:t>た</w:t>
            </w:r>
            <w:r w:rsidRPr="00DA0F64">
              <w:rPr>
                <w:rFonts w:ascii="ＭＳ 明朝" w:eastAsia="ＭＳ 明朝" w:hAnsi="ＭＳ 明朝" w:cs="Adobe Song Std L"/>
                <w:szCs w:val="21"/>
              </w:rPr>
              <w:t>必要かつ十分な内容が適切に組織・配列されている。</w:t>
            </w:r>
          </w:p>
          <w:p w14:paraId="46899418" w14:textId="4F5BF2B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●例・例題→問→問題（節末）→練習問題（章末）の順に，段階を追って一定レベルの問題が過不足なく取り上げられており，その分量も適切である。</w:t>
            </w:r>
          </w:p>
          <w:p w14:paraId="27033FED" w14:textId="157C64F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●本文の問の末尾に問題（節末）と練習問題（章末）へのリンクマークが付され，追加問題が扱いやすくなるように工夫されている。</w:t>
            </w:r>
          </w:p>
          <w:p w14:paraId="42B82D75" w14:textId="603996C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●課題学習は，節末や章末に掲載されており，生徒や学校の実態に応じた指導ができるように配慮されている。</w:t>
            </w:r>
          </w:p>
          <w:p w14:paraId="2EB4AA7C" w14:textId="5E18664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●巻末には，「</w:t>
            </w:r>
            <w:r w:rsidR="000410BF">
              <w:rPr>
                <w:rFonts w:ascii="ＭＳ 明朝" w:eastAsia="ＭＳ 明朝" w:hAnsi="ＭＳ 明朝" w:cs="Adobe Song Std L" w:hint="eastAsia"/>
                <w:szCs w:val="21"/>
              </w:rPr>
              <w:t>思考の戦略編</w:t>
            </w:r>
            <w:r w:rsidRPr="00DA0F64">
              <w:rPr>
                <w:rFonts w:ascii="ＭＳ 明朝" w:eastAsia="ＭＳ 明朝" w:hAnsi="ＭＳ 明朝" w:cs="Adobe Song Std L"/>
                <w:szCs w:val="21"/>
              </w:rPr>
              <w:t>」が設けられており，進んだ生徒への配慮もされている。</w:t>
            </w:r>
          </w:p>
          <w:p w14:paraId="63FD2DBD" w14:textId="3BC9B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●巻末には，「中学校で学んだ基本事項」として，高校数学に関連する中学校の学習内容がコンパクトにまとめられている。</w:t>
            </w:r>
          </w:p>
        </w:tc>
      </w:tr>
      <w:tr w:rsidR="003D33EB"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3D33EB" w:rsidRDefault="003D33EB" w:rsidP="00DA0F64">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158726B3" w14:textId="156D81F6" w:rsidR="003D33EB" w:rsidRPr="002C0F0A" w:rsidRDefault="003D33EB" w:rsidP="00DA0F64">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03D0C82" w14:textId="588296E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●全編を通して本文の理解を助けるように，イラスト，写真，図が適切に用いられている。</w:t>
            </w:r>
          </w:p>
          <w:p w14:paraId="61159E08"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●必要に応じて色を使い，視覚的な内容理解ができるよう配慮されている。</w:t>
            </w:r>
          </w:p>
          <w:p w14:paraId="155C8BB3"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●用語・記号は統一されており，記述の仕方も適切である。</w:t>
            </w:r>
          </w:p>
          <w:p w14:paraId="1A680FFF" w14:textId="6442738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●ICT機器を利用すると効果的な箇所に</w:t>
            </w:r>
            <w:r w:rsidR="000410BF">
              <w:rPr>
                <w:rFonts w:ascii="ＭＳ 明朝" w:eastAsia="ＭＳ 明朝" w:hAnsi="ＭＳ 明朝" w:cs="Adobe Song Std L" w:hint="eastAsia"/>
                <w:szCs w:val="21"/>
              </w:rPr>
              <w:t>QR</w:t>
            </w:r>
            <w:r w:rsidRPr="00DA0F64">
              <w:rPr>
                <w:rFonts w:ascii="ＭＳ 明朝" w:eastAsia="ＭＳ 明朝" w:hAnsi="ＭＳ 明朝" w:cs="Adobe Song Std L"/>
                <w:szCs w:val="21"/>
              </w:rPr>
              <w:t>コンテンツが用意されており，生徒が柔軟に学習を進めることができるよう配慮されている。</w:t>
            </w:r>
          </w:p>
          <w:p w14:paraId="253A656E" w14:textId="1F586DB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●章の扉では，章の学習内容</w:t>
            </w:r>
            <w:r w:rsidR="000410BF">
              <w:rPr>
                <w:rFonts w:ascii="ＭＳ 明朝" w:eastAsia="ＭＳ 明朝" w:hAnsi="ＭＳ 明朝" w:cs="Adobe Song Std L" w:hint="eastAsia"/>
                <w:szCs w:val="21"/>
              </w:rPr>
              <w:t>と関わりの深い数学者を取り上げ，その数学者の言葉を紹介し，数学の発展してきた様子を学べる</w:t>
            </w:r>
            <w:r w:rsidRPr="00DA0F64">
              <w:rPr>
                <w:rFonts w:ascii="ＭＳ 明朝" w:eastAsia="ＭＳ 明朝" w:hAnsi="ＭＳ 明朝" w:cs="Adobe Song Std L"/>
                <w:szCs w:val="21"/>
              </w:rPr>
              <w:t>よう工夫されている。</w:t>
            </w:r>
          </w:p>
          <w:p w14:paraId="4C5204DA" w14:textId="45DDF1FA"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●教科書を支援する指導書や周辺教材などが充実しており，指導しやすい教科書である。</w:t>
            </w:r>
          </w:p>
        </w:tc>
      </w:tr>
      <w:tr w:rsidR="003D33EB" w:rsidRPr="002C0F0A" w14:paraId="7813244F" w14:textId="4606CFD1"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320D7BAD" w14:textId="775F5E0C"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A4E6055" w14:textId="6E98D6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15F73D69"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●活字はユニバーサルデザインで美しく，写真，挿し絵も鮮明で効果的である。</w:t>
            </w:r>
          </w:p>
          <w:p w14:paraId="48FBAC67"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●製本は堅牢で，開きやすい様式である。</w:t>
            </w:r>
          </w:p>
          <w:p w14:paraId="7A11BB4A" w14:textId="78AC7F9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●図やグラフの色使いなど，色覚特性への配慮を含むユニバーサルデザインとなっており，全ページにわたって配色を工夫するなど，だれもが見やすい紙面になっている。</w:t>
            </w:r>
          </w:p>
          <w:p w14:paraId="154AF7DA" w14:textId="213D9E8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●本文の用紙には再生紙と植物油インキを使用し，印刷業界団体が定めた環境配慮基準を満たす「グリーンプリンティング認定工場」で印刷するなど，地球環境や資源に及ぼす影響も考慮されている。</w:t>
            </w:r>
          </w:p>
        </w:tc>
      </w:tr>
      <w:tr w:rsidR="003D33EB"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156F78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1ED7D53B"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4844" w14:textId="77777777" w:rsidR="001459A5" w:rsidRDefault="001459A5" w:rsidP="00863C86">
      <w:r>
        <w:separator/>
      </w:r>
    </w:p>
  </w:endnote>
  <w:endnote w:type="continuationSeparator" w:id="0">
    <w:p w14:paraId="0F473DE6" w14:textId="77777777" w:rsidR="001459A5" w:rsidRDefault="001459A5" w:rsidP="0086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F3C9" w14:textId="77777777" w:rsidR="001459A5" w:rsidRDefault="001459A5" w:rsidP="00863C86">
      <w:r>
        <w:separator/>
      </w:r>
    </w:p>
  </w:footnote>
  <w:footnote w:type="continuationSeparator" w:id="0">
    <w:p w14:paraId="1AAD4E47" w14:textId="77777777" w:rsidR="001459A5" w:rsidRDefault="001459A5" w:rsidP="0086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024544"/>
    <w:rsid w:val="000410BF"/>
    <w:rsid w:val="001459A5"/>
    <w:rsid w:val="002C0F0A"/>
    <w:rsid w:val="0039767A"/>
    <w:rsid w:val="003D1E11"/>
    <w:rsid w:val="003D33EB"/>
    <w:rsid w:val="005617E3"/>
    <w:rsid w:val="0057346C"/>
    <w:rsid w:val="005A3861"/>
    <w:rsid w:val="005F7943"/>
    <w:rsid w:val="006D7325"/>
    <w:rsid w:val="007B2E68"/>
    <w:rsid w:val="00863C86"/>
    <w:rsid w:val="0091114A"/>
    <w:rsid w:val="00AA65DB"/>
    <w:rsid w:val="00D0453D"/>
    <w:rsid w:val="00DA0F64"/>
    <w:rsid w:val="00EA719B"/>
    <w:rsid w:val="00EF5D2B"/>
    <w:rsid w:val="00F61F45"/>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C86"/>
    <w:pPr>
      <w:tabs>
        <w:tab w:val="center" w:pos="4252"/>
        <w:tab w:val="right" w:pos="8504"/>
      </w:tabs>
      <w:snapToGrid w:val="0"/>
    </w:pPr>
  </w:style>
  <w:style w:type="character" w:customStyle="1" w:styleId="a4">
    <w:name w:val="ヘッダー (文字)"/>
    <w:basedOn w:val="a0"/>
    <w:link w:val="a3"/>
    <w:uiPriority w:val="99"/>
    <w:rsid w:val="00863C86"/>
  </w:style>
  <w:style w:type="paragraph" w:styleId="a5">
    <w:name w:val="footer"/>
    <w:basedOn w:val="a"/>
    <w:link w:val="a6"/>
    <w:uiPriority w:val="99"/>
    <w:unhideWhenUsed/>
    <w:rsid w:val="00863C86"/>
    <w:pPr>
      <w:tabs>
        <w:tab w:val="center" w:pos="4252"/>
        <w:tab w:val="right" w:pos="8504"/>
      </w:tabs>
      <w:snapToGrid w:val="0"/>
    </w:pPr>
  </w:style>
  <w:style w:type="character" w:customStyle="1" w:styleId="a6">
    <w:name w:val="フッター (文字)"/>
    <w:basedOn w:val="a0"/>
    <w:link w:val="a5"/>
    <w:uiPriority w:val="99"/>
    <w:rsid w:val="0086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348</Words>
  <Characters>1987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敬仁 名倉</cp:lastModifiedBy>
  <cp:revision>6</cp:revision>
  <dcterms:created xsi:type="dcterms:W3CDTF">2022-03-24T09:23:00Z</dcterms:created>
  <dcterms:modified xsi:type="dcterms:W3CDTF">2025-03-06T09:01:00Z</dcterms:modified>
</cp:coreProperties>
</file>