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B7" w:rsidRPr="003D33EB" w:rsidRDefault="004A7EB7" w:rsidP="004A7EB7">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◆ご検討の観点と内容の特色◆</w:t>
      </w:r>
    </w:p>
    <w:p w:rsidR="004A7EB7" w:rsidRPr="007B2E68" w:rsidRDefault="004A7EB7" w:rsidP="004A7EB7">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新</w:t>
      </w:r>
      <w:r w:rsidRPr="007B2E68">
        <w:rPr>
          <w:rFonts w:ascii="ＭＳ Ｐゴシック" w:eastAsia="ＭＳ Ｐゴシック" w:hAnsi="ＭＳ Ｐゴシック" w:hint="eastAsia"/>
          <w:sz w:val="20"/>
          <w:szCs w:val="20"/>
        </w:rPr>
        <w:t>数学</w:t>
      </w:r>
      <w:r w:rsidR="00443230">
        <w:rPr>
          <w:rFonts w:ascii="ＭＳ Ｐゴシック" w:eastAsia="ＭＳ Ｐゴシック" w:hAnsi="ＭＳ Ｐゴシック" w:hint="eastAsia"/>
          <w:sz w:val="20"/>
          <w:szCs w:val="20"/>
        </w:rPr>
        <w:t>Ⅱ</w:t>
      </w:r>
      <w:r>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2東書・数</w:t>
      </w:r>
      <w:r>
        <w:rPr>
          <w:rFonts w:ascii="ＭＳ Ｐゴシック" w:eastAsia="ＭＳ Ｐゴシック" w:hAnsi="ＭＳ Ｐゴシック" w:hint="eastAsia"/>
          <w:sz w:val="20"/>
          <w:szCs w:val="20"/>
        </w:rPr>
        <w:t>Ⅰ</w:t>
      </w:r>
      <w:r>
        <w:rPr>
          <w:rFonts w:ascii="ＭＳ Ｐゴシック" w:eastAsia="ＭＳ Ｐゴシック" w:hAnsi="ＭＳ Ｐゴシック"/>
          <w:sz w:val="20"/>
          <w:szCs w:val="20"/>
        </w:rPr>
        <w:t>7</w:t>
      </w:r>
      <w:r w:rsidR="00443230">
        <w:rPr>
          <w:rFonts w:ascii="ＭＳ Ｐゴシック" w:eastAsia="ＭＳ Ｐゴシック" w:hAnsi="ＭＳ Ｐゴシック" w:hint="eastAsia"/>
          <w:sz w:val="20"/>
          <w:szCs w:val="20"/>
        </w:rPr>
        <w:t>17</w:t>
      </w:r>
      <w:r>
        <w:rPr>
          <w:rFonts w:ascii="ＭＳ Ｐゴシック" w:eastAsia="ＭＳ Ｐゴシック" w:hAnsi="ＭＳ Ｐゴシック" w:hint="eastAsia"/>
          <w:sz w:val="20"/>
          <w:szCs w:val="20"/>
        </w:rPr>
        <w:t>･7</w:t>
      </w:r>
      <w:r w:rsidR="00443230">
        <w:rPr>
          <w:rFonts w:ascii="ＭＳ Ｐゴシック" w:eastAsia="ＭＳ Ｐゴシック" w:hAnsi="ＭＳ Ｐゴシック" w:hint="eastAsia"/>
          <w:sz w:val="20"/>
          <w:szCs w:val="20"/>
        </w:rPr>
        <w:t>18</w:t>
      </w:r>
    </w:p>
    <w:p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rsidR="00443230" w:rsidRPr="00443230" w:rsidRDefault="00443230"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color w:val="000000" w:themeColor="text1"/>
                <w:szCs w:val="21"/>
              </w:rPr>
              <w:t>１章　方程式・式と証明</w:t>
            </w:r>
            <w:r>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hint="eastAsia"/>
                <w:color w:val="000000" w:themeColor="text1"/>
                <w:szCs w:val="21"/>
              </w:rPr>
              <w:t>二項定理は，パスカルの三角形を視覚的に示し，</w:t>
            </w:r>
            <w:proofErr w:type="spellStart"/>
            <w:r w:rsidRPr="00443230">
              <w:rPr>
                <w:rFonts w:ascii="ＭＳ 明朝" w:eastAsia="ＭＳ 明朝" w:hAnsi="ＭＳ 明朝" w:cs="Adobe Song Std L"/>
                <w:color w:val="000000" w:themeColor="text1"/>
                <w:szCs w:val="21"/>
              </w:rPr>
              <w:t>nCr</w:t>
            </w:r>
            <w:proofErr w:type="spellEnd"/>
            <w:r w:rsidRPr="00443230">
              <w:rPr>
                <w:rFonts w:ascii="ＭＳ 明朝" w:eastAsia="ＭＳ 明朝" w:hAnsi="ＭＳ 明朝" w:cs="Adobe Song Std L"/>
                <w:color w:val="000000" w:themeColor="text1"/>
                <w:szCs w:val="21"/>
              </w:rPr>
              <w:t>を説明してから二項定理を導く構成</w:t>
            </w:r>
            <w:r>
              <w:rPr>
                <w:rFonts w:ascii="ＭＳ 明朝" w:eastAsia="ＭＳ 明朝" w:hAnsi="ＭＳ 明朝" w:cs="Adobe Song Std L" w:hint="eastAsia"/>
                <w:color w:val="000000" w:themeColor="text1"/>
                <w:szCs w:val="21"/>
              </w:rPr>
              <w:t>で理解しやすい</w:t>
            </w:r>
            <w:r w:rsidRPr="00443230">
              <w:rPr>
                <w:rFonts w:ascii="ＭＳ 明朝" w:eastAsia="ＭＳ 明朝" w:hAnsi="ＭＳ 明朝" w:cs="Adobe Song Std L"/>
                <w:color w:val="000000" w:themeColor="text1"/>
                <w:szCs w:val="21"/>
              </w:rPr>
              <w:t>。（p.6～7）</w:t>
            </w:r>
            <w:r>
              <w:rPr>
                <w:rFonts w:ascii="ＭＳ 明朝" w:eastAsia="ＭＳ 明朝" w:hAnsi="ＭＳ 明朝" w:cs="Adobe Song Std L"/>
                <w:color w:val="000000" w:themeColor="text1"/>
                <w:szCs w:val="21"/>
              </w:rPr>
              <w:br/>
            </w:r>
            <w:r w:rsidRPr="00443230">
              <w:rPr>
                <w:rFonts w:ascii="ＭＳ 明朝" w:eastAsia="ＭＳ 明朝" w:hAnsi="ＭＳ 明朝" w:cs="Adobe Song Std L" w:hint="eastAsia"/>
                <w:color w:val="000000" w:themeColor="text1"/>
                <w:szCs w:val="21"/>
              </w:rPr>
              <w:t>分数式の計算は，分数の計算や約分や通分の内容を振り返りながら徐々に高校数学の内容に移行していくように構成</w:t>
            </w:r>
            <w:r>
              <w:rPr>
                <w:rFonts w:ascii="ＭＳ 明朝" w:eastAsia="ＭＳ 明朝" w:hAnsi="ＭＳ 明朝" w:cs="Adobe Song Std L" w:hint="eastAsia"/>
                <w:color w:val="000000" w:themeColor="text1"/>
                <w:szCs w:val="21"/>
              </w:rPr>
              <w:t>されている</w:t>
            </w:r>
            <w:r w:rsidRPr="00443230">
              <w:rPr>
                <w:rFonts w:ascii="ＭＳ 明朝" w:eastAsia="ＭＳ 明朝" w:hAnsi="ＭＳ 明朝" w:cs="Adobe Song Std L" w:hint="eastAsia"/>
                <w:color w:val="000000" w:themeColor="text1"/>
                <w:szCs w:val="21"/>
              </w:rPr>
              <w:t>。特に，加法と減法では，分母が等しい場合と異なる場合に分け，段階を追って複雑な問題を扱うように配慮</w:t>
            </w:r>
            <w:r>
              <w:rPr>
                <w:rFonts w:ascii="ＭＳ 明朝" w:eastAsia="ＭＳ 明朝" w:hAnsi="ＭＳ 明朝" w:cs="Adobe Song Std L" w:hint="eastAsia"/>
                <w:color w:val="000000" w:themeColor="text1"/>
                <w:szCs w:val="21"/>
              </w:rPr>
              <w:t>されている</w:t>
            </w:r>
            <w:r w:rsidRPr="00443230">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color w:val="000000" w:themeColor="text1"/>
                <w:szCs w:val="21"/>
              </w:rPr>
              <w:t>p.8～11）</w:t>
            </w:r>
            <w:r>
              <w:rPr>
                <w:rFonts w:ascii="ＭＳ 明朝" w:eastAsia="ＭＳ 明朝" w:hAnsi="ＭＳ 明朝" w:cs="Adobe Song Std L"/>
                <w:color w:val="000000" w:themeColor="text1"/>
                <w:szCs w:val="21"/>
              </w:rPr>
              <w:br/>
            </w:r>
            <w:r w:rsidRPr="00443230">
              <w:rPr>
                <w:rFonts w:ascii="ＭＳ 明朝" w:eastAsia="ＭＳ 明朝" w:hAnsi="ＭＳ 明朝" w:cs="Adobe Song Std L" w:hint="eastAsia"/>
                <w:color w:val="000000" w:themeColor="text1"/>
                <w:szCs w:val="21"/>
              </w:rPr>
              <w:t>複素数は，まず虚数単位を導入してから負の数の平方根を扱い，具体例を通して虚数単位の扱い方に慣れるように配慮</w:t>
            </w:r>
            <w:r>
              <w:rPr>
                <w:rFonts w:ascii="ＭＳ 明朝" w:eastAsia="ＭＳ 明朝" w:hAnsi="ＭＳ 明朝" w:cs="Adobe Song Std L" w:hint="eastAsia"/>
                <w:color w:val="000000" w:themeColor="text1"/>
                <w:szCs w:val="21"/>
              </w:rPr>
              <w:t>されている</w:t>
            </w:r>
            <w:r w:rsidRPr="00443230">
              <w:rPr>
                <w:rFonts w:ascii="ＭＳ 明朝" w:eastAsia="ＭＳ 明朝" w:hAnsi="ＭＳ 明朝" w:cs="Adobe Song Std L" w:hint="eastAsia"/>
                <w:color w:val="000000" w:themeColor="text1"/>
                <w:szCs w:val="21"/>
              </w:rPr>
              <w:t>。さらに，簡単な方程式を解く流れの中で複素数を自然と導入できる</w:t>
            </w:r>
            <w:r>
              <w:rPr>
                <w:rFonts w:ascii="ＭＳ 明朝" w:eastAsia="ＭＳ 明朝" w:hAnsi="ＭＳ 明朝" w:cs="Adobe Song Std L" w:hint="eastAsia"/>
                <w:color w:val="000000" w:themeColor="text1"/>
                <w:szCs w:val="21"/>
              </w:rPr>
              <w:t>構成になっている</w:t>
            </w:r>
            <w:r w:rsidRPr="00443230">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color w:val="000000" w:themeColor="text1"/>
                <w:szCs w:val="21"/>
              </w:rPr>
              <w:t>p.12～15）</w:t>
            </w:r>
          </w:p>
          <w:p w:rsidR="00443230" w:rsidRPr="00443230" w:rsidRDefault="00766534"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２章　図形と方程式</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平面上の</w:t>
            </w:r>
            <w:r w:rsidR="00443230" w:rsidRPr="00443230">
              <w:rPr>
                <w:rFonts w:ascii="ＭＳ 明朝" w:eastAsia="ＭＳ 明朝" w:hAnsi="ＭＳ 明朝" w:cs="Adobe Song Std L"/>
                <w:color w:val="000000" w:themeColor="text1"/>
                <w:szCs w:val="21"/>
              </w:rPr>
              <w:t>2点間の距離や平面上の内分点の座標，外分点の座標では，2点の座標とそれらを結ぶ線分の図解を分かりやすく載せて，視覚的にも理解できるように構成</w:t>
            </w:r>
            <w:r>
              <w:rPr>
                <w:rFonts w:ascii="ＭＳ 明朝" w:eastAsia="ＭＳ 明朝" w:hAnsi="ＭＳ 明朝" w:cs="Adobe Song Std L" w:hint="eastAsia"/>
                <w:color w:val="000000" w:themeColor="text1"/>
                <w:szCs w:val="21"/>
              </w:rPr>
              <w:t>されている</w:t>
            </w:r>
            <w:r w:rsidR="00443230" w:rsidRPr="00443230">
              <w:rPr>
                <w:rFonts w:ascii="ＭＳ 明朝" w:eastAsia="ＭＳ 明朝" w:hAnsi="ＭＳ 明朝" w:cs="Adobe Song Std L"/>
                <w:color w:val="000000" w:themeColor="text1"/>
                <w:szCs w:val="21"/>
              </w:rPr>
              <w:t>。（p.38～42）</w:t>
            </w:r>
          </w:p>
          <w:p w:rsidR="00443230" w:rsidRPr="00443230" w:rsidRDefault="00766534"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３章　三角関数</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弧度法は，生徒にとって新しく学ぶ概念である</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度による表示とラジアンによる表示の対応図を穴埋め形式で扱い，基本的事項を扱う程度にとどめて章の最後で扱</w:t>
            </w:r>
            <w:r>
              <w:rPr>
                <w:rFonts w:ascii="ＭＳ 明朝" w:eastAsia="ＭＳ 明朝" w:hAnsi="ＭＳ 明朝" w:cs="Adobe Song Std L" w:hint="eastAsia"/>
                <w:color w:val="000000" w:themeColor="text1"/>
                <w:szCs w:val="21"/>
              </w:rPr>
              <w:t>う構成になっている</w:t>
            </w:r>
            <w:r w:rsidR="00443230" w:rsidRPr="00443230">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p.82～83）</w:t>
            </w:r>
          </w:p>
          <w:p w:rsidR="00443230" w:rsidRPr="00443230" w:rsidRDefault="00766534"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４章　指数関数と対数関数</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指数が</w:t>
            </w:r>
            <w:r w:rsidR="00443230" w:rsidRPr="00443230">
              <w:rPr>
                <w:rFonts w:ascii="ＭＳ 明朝" w:eastAsia="ＭＳ 明朝" w:hAnsi="ＭＳ 明朝" w:cs="Adobe Song Std L"/>
                <w:color w:val="000000" w:themeColor="text1"/>
                <w:szCs w:val="21"/>
              </w:rPr>
              <w:t>0や負の数のときの累乗では，その解説に式を用いることはせず，10倍，1/10倍という考え方を用いて直観的に理解できるように</w:t>
            </w:r>
            <w:r>
              <w:rPr>
                <w:rFonts w:ascii="ＭＳ 明朝" w:eastAsia="ＭＳ 明朝" w:hAnsi="ＭＳ 明朝" w:cs="Adobe Song Std L" w:hint="eastAsia"/>
                <w:color w:val="000000" w:themeColor="text1"/>
                <w:szCs w:val="21"/>
              </w:rPr>
              <w:t>工夫されている</w:t>
            </w:r>
            <w:r w:rsidR="00443230" w:rsidRPr="00443230">
              <w:rPr>
                <w:rFonts w:ascii="ＭＳ 明朝" w:eastAsia="ＭＳ 明朝" w:hAnsi="ＭＳ 明朝" w:cs="Adobe Song Std L"/>
                <w:color w:val="000000" w:themeColor="text1"/>
                <w:szCs w:val="21"/>
              </w:rPr>
              <w:t>。（p.86）</w:t>
            </w:r>
          </w:p>
          <w:p w:rsidR="004A7EB7" w:rsidRPr="00C1378B" w:rsidRDefault="00766534" w:rsidP="00766534">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５章　微分と積分</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微分係数と接線の傾きでは，微分係数を求める際の流れを図式化しながら丁寧に例示し，直観的に理解できるように配慮</w:t>
            </w:r>
            <w:r>
              <w:rPr>
                <w:rFonts w:ascii="ＭＳ 明朝" w:eastAsia="ＭＳ 明朝" w:hAnsi="ＭＳ 明朝" w:cs="Adobe Song Std L" w:hint="eastAsia"/>
                <w:color w:val="000000" w:themeColor="text1"/>
                <w:szCs w:val="21"/>
              </w:rPr>
              <w:t>されている</w:t>
            </w:r>
            <w:r w:rsidR="00443230" w:rsidRPr="00443230">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p.114）</w:t>
            </w:r>
          </w:p>
        </w:tc>
      </w:tr>
    </w:tbl>
    <w:p w:rsidR="004A7EB7" w:rsidRDefault="004A7EB7" w:rsidP="004A7EB7">
      <w:pPr>
        <w:ind w:right="840"/>
        <w:rPr>
          <w:rFonts w:ascii="ＭＳ Ｐゴシック" w:eastAsia="ＭＳ Ｐゴシック" w:hAnsi="ＭＳ Ｐゴシック"/>
          <w:szCs w:val="21"/>
        </w:rPr>
      </w:pPr>
    </w:p>
    <w:p w:rsidR="00766534" w:rsidRDefault="00766534" w:rsidP="004A7EB7">
      <w:pPr>
        <w:ind w:right="840"/>
        <w:rPr>
          <w:rFonts w:ascii="ＭＳ Ｐゴシック" w:eastAsia="ＭＳ Ｐゴシック" w:hAnsi="ＭＳ Ｐゴシック"/>
          <w:szCs w:val="21"/>
        </w:rPr>
      </w:pPr>
    </w:p>
    <w:p w:rsidR="00766534" w:rsidRDefault="00766534" w:rsidP="004A7EB7">
      <w:pPr>
        <w:ind w:right="840"/>
        <w:rPr>
          <w:rFonts w:ascii="ＭＳ Ｐゴシック" w:eastAsia="ＭＳ Ｐゴシック" w:hAnsi="ＭＳ Ｐゴシック"/>
          <w:szCs w:val="21"/>
        </w:rPr>
      </w:pPr>
    </w:p>
    <w:p w:rsidR="00766534" w:rsidRPr="00766534" w:rsidRDefault="00766534" w:rsidP="004A7EB7">
      <w:pPr>
        <w:ind w:right="840"/>
        <w:rPr>
          <w:rFonts w:ascii="ＭＳ Ｐゴシック" w:eastAsia="ＭＳ Ｐゴシック" w:hAnsi="ＭＳ Ｐゴシック"/>
          <w:szCs w:val="21"/>
        </w:rPr>
      </w:pPr>
      <w:bookmarkStart w:id="0" w:name="_GoBack"/>
      <w:bookmarkEnd w:id="0"/>
    </w:p>
    <w:p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lastRenderedPageBreak/>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Pr>
                <w:rFonts w:ascii="ＭＳ 明朝" w:eastAsia="ＭＳ 明朝" w:hAnsi="ＭＳ 明朝" w:cs="Adobe Song Std L" w:hint="eastAsia"/>
                <w:color w:val="000000" w:themeColor="text1"/>
                <w:szCs w:val="21"/>
              </w:rPr>
              <w:t>索引が配置され，</w:t>
            </w:r>
            <w:r w:rsidRPr="003E22C4">
              <w:rPr>
                <w:rFonts w:ascii="ＭＳ 明朝" w:eastAsia="ＭＳ 明朝" w:hAnsi="ＭＳ 明朝" w:cs="Adobe Song Std L" w:hint="eastAsia"/>
                <w:color w:val="000000" w:themeColor="text1"/>
                <w:szCs w:val="21"/>
              </w:rPr>
              <w:t>検索性を高めてい</w:t>
            </w:r>
            <w:r>
              <w:rPr>
                <w:rFonts w:ascii="ＭＳ 明朝" w:eastAsia="ＭＳ 明朝" w:hAnsi="ＭＳ 明朝" w:cs="Adobe Song Std L" w:hint="eastAsia"/>
                <w:color w:val="000000" w:themeColor="text1"/>
                <w:szCs w:val="21"/>
              </w:rPr>
              <w:t>る</w:t>
            </w:r>
            <w:r w:rsidRPr="003E22C4">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また，</w:t>
            </w:r>
            <w:r w:rsidRPr="003E22C4">
              <w:rPr>
                <w:rFonts w:ascii="ＭＳ 明朝" w:eastAsia="ＭＳ 明朝" w:hAnsi="ＭＳ 明朝" w:cs="Adobe Song Std L" w:hint="eastAsia"/>
                <w:color w:val="000000" w:themeColor="text1"/>
                <w:szCs w:val="21"/>
              </w:rPr>
              <w:t>用語にはふりがなを付し，記号も取り上げてい</w:t>
            </w:r>
            <w:r>
              <w:rPr>
                <w:rFonts w:ascii="ＭＳ 明朝" w:eastAsia="ＭＳ 明朝" w:hAnsi="ＭＳ 明朝" w:cs="Adobe Song Std L" w:hint="eastAsia"/>
                <w:color w:val="000000" w:themeColor="text1"/>
                <w:szCs w:val="21"/>
              </w:rPr>
              <w:t>る。（p.168～169）</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rsidR="004A7EB7" w:rsidRDefault="004A7EB7" w:rsidP="00F327DE">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rsidR="004A7EB7" w:rsidRPr="002C0F0A" w:rsidRDefault="004A7EB7" w:rsidP="00F327DE">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用語・記号は統一されており，記述の仕方も適切である。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各章末の「章のまとめ」では，学習した重要事項が確認できるようになっている。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必要事項をコンパクトにまとめ，大判（</w:t>
            </w:r>
            <w:r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rsidR="004A7EB7" w:rsidRPr="003D33EB" w:rsidRDefault="004A7EB7" w:rsidP="004A7EB7">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p w:rsidR="001A259F" w:rsidRPr="004A7EB7" w:rsidRDefault="001A259F"/>
    <w:sectPr w:rsidR="001A259F" w:rsidRPr="004A7EB7" w:rsidSect="002711ED">
      <w:headerReference w:type="default" r:id="rId6"/>
      <w:pgSz w:w="11906" w:h="16838" w:code="9"/>
      <w:pgMar w:top="851" w:right="567" w:bottom="567"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95" w:rsidRDefault="007C7895" w:rsidP="00780615">
      <w:r>
        <w:separator/>
      </w:r>
    </w:p>
  </w:endnote>
  <w:endnote w:type="continuationSeparator" w:id="0">
    <w:p w:rsidR="007C7895" w:rsidRDefault="007C7895" w:rsidP="007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95" w:rsidRDefault="007C7895" w:rsidP="00780615">
      <w:r>
        <w:separator/>
      </w:r>
    </w:p>
  </w:footnote>
  <w:footnote w:type="continuationSeparator" w:id="0">
    <w:p w:rsidR="007C7895" w:rsidRDefault="007C7895" w:rsidP="007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15" w:rsidRPr="002711ED" w:rsidRDefault="002711ED" w:rsidP="002711ED">
    <w:pPr>
      <w:jc w:val="right"/>
      <w:rPr>
        <w:rFonts w:ascii="ＭＳ Ｐゴシック" w:eastAsia="ＭＳ Ｐゴシック" w:hAnsi="ＭＳ Ｐゴシック"/>
        <w:sz w:val="18"/>
        <w:szCs w:val="18"/>
        <w:bdr w:val="single" w:sz="4" w:space="0" w:color="auto" w:frame="1"/>
      </w:rPr>
    </w:pPr>
    <w:r>
      <w:rPr>
        <w:rFonts w:ascii="ＭＳ Ｐゴシック" w:eastAsia="ＭＳ Ｐゴシック" w:hAnsi="ＭＳ Ｐゴシック" w:hint="eastAsia"/>
        <w:sz w:val="18"/>
        <w:szCs w:val="18"/>
        <w:bdr w:val="single" w:sz="4" w:space="0" w:color="auto" w:frame="1"/>
      </w:rPr>
      <w:t>令和5年度用内容解説資料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7"/>
    <w:rsid w:val="001A259F"/>
    <w:rsid w:val="002711ED"/>
    <w:rsid w:val="00443230"/>
    <w:rsid w:val="004A7EB7"/>
    <w:rsid w:val="004C18BD"/>
    <w:rsid w:val="0066579E"/>
    <w:rsid w:val="00766534"/>
    <w:rsid w:val="00780615"/>
    <w:rsid w:val="007C7895"/>
    <w:rsid w:val="00F1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29D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615"/>
    <w:pPr>
      <w:tabs>
        <w:tab w:val="center" w:pos="4252"/>
        <w:tab w:val="right" w:pos="8504"/>
      </w:tabs>
      <w:snapToGrid w:val="0"/>
    </w:pPr>
  </w:style>
  <w:style w:type="character" w:customStyle="1" w:styleId="a4">
    <w:name w:val="ヘッダー (文字)"/>
    <w:basedOn w:val="a0"/>
    <w:link w:val="a3"/>
    <w:uiPriority w:val="99"/>
    <w:rsid w:val="00780615"/>
  </w:style>
  <w:style w:type="paragraph" w:styleId="a5">
    <w:name w:val="footer"/>
    <w:basedOn w:val="a"/>
    <w:link w:val="a6"/>
    <w:uiPriority w:val="99"/>
    <w:unhideWhenUsed/>
    <w:rsid w:val="00780615"/>
    <w:pPr>
      <w:tabs>
        <w:tab w:val="center" w:pos="4252"/>
        <w:tab w:val="right" w:pos="8504"/>
      </w:tabs>
      <w:snapToGrid w:val="0"/>
    </w:pPr>
  </w:style>
  <w:style w:type="character" w:customStyle="1" w:styleId="a6">
    <w:name w:val="フッター (文字)"/>
    <w:basedOn w:val="a0"/>
    <w:link w:val="a5"/>
    <w:uiPriority w:val="99"/>
    <w:rsid w:val="007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2022-03-29T11:06:00Z</dcterms:created>
  <dcterms:modified xsi:type="dcterms:W3CDTF">2022-03-29T11:06:00Z</dcterms:modified>
</cp:coreProperties>
</file>