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7" w:rsidRPr="003D33EB" w:rsidRDefault="004A7EB7" w:rsidP="004A7EB7">
      <w:pPr>
        <w:adjustRightInd w:val="0"/>
        <w:snapToGrid w:val="0"/>
        <w:rPr>
          <w:rFonts w:ascii="ＭＳ Ｐゴシック" w:eastAsia="ＭＳ Ｐゴシック" w:hAnsi="ＭＳ Ｐゴシック"/>
          <w:sz w:val="28"/>
          <w:szCs w:val="28"/>
        </w:rPr>
      </w:pPr>
      <w:bookmarkStart w:id="0" w:name="_GoBack"/>
      <w:bookmarkEnd w:id="0"/>
      <w:r w:rsidRPr="003D33EB">
        <w:rPr>
          <w:rFonts w:ascii="ＭＳ Ｐゴシック" w:eastAsia="ＭＳ Ｐゴシック" w:hAnsi="ＭＳ Ｐゴシック" w:hint="eastAsia"/>
          <w:sz w:val="28"/>
          <w:szCs w:val="28"/>
        </w:rPr>
        <w:t>◆ご検討の観点と内容の特色◆</w:t>
      </w:r>
    </w:p>
    <w:p w:rsidR="004A7EB7" w:rsidRPr="007B2E68" w:rsidRDefault="004A7EB7" w:rsidP="004A7EB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新</w:t>
      </w:r>
      <w:r w:rsidRPr="007B2E68">
        <w:rPr>
          <w:rFonts w:ascii="ＭＳ Ｐゴシック" w:eastAsia="ＭＳ Ｐゴシック" w:hAnsi="ＭＳ Ｐゴシック" w:hint="eastAsia"/>
          <w:sz w:val="20"/>
          <w:szCs w:val="20"/>
        </w:rPr>
        <w:t>数学</w:t>
      </w:r>
      <w:r>
        <w:rPr>
          <w:rFonts w:ascii="ＭＳ Ｐゴシック" w:eastAsia="ＭＳ Ｐゴシック" w:hAnsi="ＭＳ Ｐゴシック" w:hint="eastAsia"/>
          <w:sz w:val="20"/>
          <w:szCs w:val="20"/>
        </w:rPr>
        <w:t xml:space="preserve">Ⅰ </w:t>
      </w:r>
      <w:r w:rsidRPr="007B2E68">
        <w:rPr>
          <w:rFonts w:ascii="ＭＳ Ｐゴシック" w:eastAsia="ＭＳ Ｐゴシック" w:hAnsi="ＭＳ Ｐゴシック"/>
          <w:sz w:val="20"/>
          <w:szCs w:val="20"/>
        </w:rPr>
        <w:t>2東書・数</w:t>
      </w:r>
      <w:r>
        <w:rPr>
          <w:rFonts w:ascii="ＭＳ Ｐゴシック" w:eastAsia="ＭＳ Ｐゴシック" w:hAnsi="ＭＳ Ｐゴシック" w:hint="eastAsia"/>
          <w:sz w:val="20"/>
          <w:szCs w:val="20"/>
        </w:rPr>
        <w:t>Ⅰ</w:t>
      </w:r>
      <w:r>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4･705</w:t>
      </w:r>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rsidR="004A7EB7" w:rsidRPr="001A34AC"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●「数の計算」では，</w:t>
            </w:r>
            <w:r w:rsidRPr="001A34AC">
              <w:rPr>
                <w:rFonts w:ascii="ＭＳ 明朝" w:eastAsia="ＭＳ 明朝" w:hAnsi="ＭＳ 明朝" w:cs="Adobe Song Std L" w:hint="eastAsia"/>
                <w:color w:val="000000" w:themeColor="text1"/>
                <w:szCs w:val="21"/>
              </w:rPr>
              <w:t>小学校と中学校の計算内容で構成</w:t>
            </w:r>
            <w:r>
              <w:rPr>
                <w:rFonts w:ascii="ＭＳ 明朝" w:eastAsia="ＭＳ 明朝" w:hAnsi="ＭＳ 明朝" w:cs="Adobe Song Std L" w:hint="eastAsia"/>
                <w:color w:val="000000" w:themeColor="text1"/>
                <w:szCs w:val="21"/>
              </w:rPr>
              <w:t>され，これからの学びに必要な基本的な数の計算について復習できるように配慮されている</w:t>
            </w:r>
            <w:r w:rsidRPr="001A34AC">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（p.3～30）</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1章　数と式」では，整式</w:t>
            </w:r>
            <w:r>
              <w:rPr>
                <w:rFonts w:ascii="ＭＳ 明朝" w:eastAsia="ＭＳ 明朝" w:hAnsi="ＭＳ 明朝" w:cs="Adobe Song Std L" w:hint="eastAsia"/>
                <w:color w:val="000000" w:themeColor="text1"/>
                <w:szCs w:val="21"/>
              </w:rPr>
              <w:t>の学習の直前で</w:t>
            </w:r>
            <w:r w:rsidRPr="00AB2889">
              <w:rPr>
                <w:rFonts w:ascii="ＭＳ 明朝" w:eastAsia="ＭＳ 明朝" w:hAnsi="ＭＳ 明朝" w:cs="Adobe Song Std L"/>
                <w:color w:val="000000" w:themeColor="text1"/>
                <w:szCs w:val="21"/>
              </w:rPr>
              <w:t>「文字を使った式」</w:t>
            </w:r>
            <w:r>
              <w:rPr>
                <w:rFonts w:ascii="ＭＳ 明朝" w:eastAsia="ＭＳ 明朝" w:hAnsi="ＭＳ 明朝" w:cs="Adobe Song Std L" w:hint="eastAsia"/>
                <w:color w:val="000000" w:themeColor="text1"/>
                <w:szCs w:val="21"/>
              </w:rPr>
              <w:t>を取り上げて</w:t>
            </w:r>
            <w:r w:rsidRPr="00DE5558">
              <w:rPr>
                <w:rFonts w:ascii="ＭＳ 明朝" w:eastAsia="ＭＳ 明朝" w:hAnsi="ＭＳ 明朝" w:cs="Adobe Song Std L" w:hint="eastAsia"/>
                <w:color w:val="000000" w:themeColor="text1"/>
                <w:szCs w:val="21"/>
              </w:rPr>
              <w:t>文字式の表し方の規則</w:t>
            </w:r>
            <w:r>
              <w:rPr>
                <w:rFonts w:ascii="ＭＳ 明朝" w:eastAsia="ＭＳ 明朝" w:hAnsi="ＭＳ 明朝" w:cs="Adobe Song Std L" w:hint="eastAsia"/>
                <w:color w:val="000000" w:themeColor="text1"/>
                <w:szCs w:val="21"/>
              </w:rPr>
              <w:t>を振り返る配慮がされて</w:t>
            </w:r>
            <w:r w:rsidRPr="00AB2889">
              <w:rPr>
                <w:rFonts w:ascii="ＭＳ 明朝" w:eastAsia="ＭＳ 明朝" w:hAnsi="ＭＳ 明朝" w:cs="Adobe Song Std L"/>
                <w:color w:val="000000" w:themeColor="text1"/>
                <w:szCs w:val="21"/>
              </w:rPr>
              <w:t>いる。(p.</w:t>
            </w:r>
            <w:r>
              <w:rPr>
                <w:rFonts w:ascii="ＭＳ 明朝" w:eastAsia="ＭＳ 明朝" w:hAnsi="ＭＳ 明朝" w:cs="Adobe Song Std L" w:hint="eastAsia"/>
                <w:color w:val="000000" w:themeColor="text1"/>
                <w:szCs w:val="21"/>
              </w:rPr>
              <w:t>32</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因数分解のたすきがけの方法では，３パターンの失敗例を取り上げ，注意を喚起するように編集されている。（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44～45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１次不等式の直前で「１次方程式」を扱い，関連する既習内容を確認できるように配慮されている。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58</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59</w:t>
            </w:r>
            <w:r w:rsidRPr="00AB2889">
              <w:rPr>
                <w:rFonts w:ascii="ＭＳ 明朝" w:eastAsia="ＭＳ 明朝" w:hAnsi="ＭＳ 明朝" w:cs="Adobe Song Std L"/>
                <w:color w:val="000000" w:themeColor="text1"/>
                <w:szCs w:val="21"/>
              </w:rPr>
              <w:t>)</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2章　２次関数」では，２次関数の限られた範囲での最大値・最小値は，定義域によってグラフの形状が変わり，最大値・最小値も変化することが重要なポイントであるため，２つの定義域が扱われている。(p.</w:t>
            </w:r>
            <w:r>
              <w:rPr>
                <w:rFonts w:ascii="ＭＳ 明朝" w:eastAsia="ＭＳ 明朝" w:hAnsi="ＭＳ 明朝" w:cs="Adobe Song Std L" w:hint="eastAsia"/>
                <w:color w:val="000000" w:themeColor="text1"/>
                <w:szCs w:val="21"/>
              </w:rPr>
              <w:t>94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２次不等式では，因数分解できる２次式が正や負</w:t>
            </w:r>
            <w:r w:rsidRPr="00AB2889">
              <w:rPr>
                <w:rFonts w:ascii="ＭＳ 明朝" w:eastAsia="ＭＳ 明朝" w:hAnsi="ＭＳ 明朝" w:cs="Adobe Song Std L"/>
                <w:color w:val="000000" w:themeColor="text1"/>
                <w:szCs w:val="21"/>
              </w:rPr>
              <w:t>(等号も含む)になる場合</w:t>
            </w:r>
            <w:r>
              <w:rPr>
                <w:rFonts w:ascii="ＭＳ 明朝" w:eastAsia="ＭＳ 明朝" w:hAnsi="ＭＳ 明朝" w:cs="Adobe Song Std L" w:hint="eastAsia"/>
                <w:color w:val="000000" w:themeColor="text1"/>
                <w:szCs w:val="21"/>
              </w:rPr>
              <w:t>（p.98～99）</w:t>
            </w:r>
            <w:r w:rsidRPr="00AB2889">
              <w:rPr>
                <w:rFonts w:ascii="ＭＳ 明朝" w:eastAsia="ＭＳ 明朝" w:hAnsi="ＭＳ 明朝" w:cs="Adobe Song Std L"/>
                <w:color w:val="000000" w:themeColor="text1"/>
                <w:szCs w:val="21"/>
              </w:rPr>
              <w:t>，解の公式を用いて解く場合</w:t>
            </w:r>
            <w:r>
              <w:rPr>
                <w:rFonts w:ascii="ＭＳ 明朝" w:eastAsia="ＭＳ 明朝" w:hAnsi="ＭＳ 明朝" w:cs="Adobe Song Std L" w:hint="eastAsia"/>
                <w:color w:val="000000" w:themeColor="text1"/>
                <w:szCs w:val="21"/>
              </w:rPr>
              <w:t>（ｐ.100）</w:t>
            </w:r>
            <w:r w:rsidRPr="00AB2889">
              <w:rPr>
                <w:rFonts w:ascii="ＭＳ 明朝" w:eastAsia="ＭＳ 明朝" w:hAnsi="ＭＳ 明朝" w:cs="Adobe Song Std L"/>
                <w:color w:val="000000" w:themeColor="text1"/>
                <w:szCs w:val="21"/>
              </w:rPr>
              <w:t>，２次の係数が負の場合</w:t>
            </w:r>
            <w:r>
              <w:rPr>
                <w:rFonts w:ascii="ＭＳ 明朝" w:eastAsia="ＭＳ 明朝" w:hAnsi="ＭＳ 明朝" w:cs="Adobe Song Std L" w:hint="eastAsia"/>
                <w:color w:val="000000" w:themeColor="text1"/>
                <w:szCs w:val="21"/>
              </w:rPr>
              <w:t>（p.101）</w:t>
            </w:r>
            <w:r w:rsidRPr="00AB2889">
              <w:rPr>
                <w:rFonts w:ascii="ＭＳ 明朝" w:eastAsia="ＭＳ 明朝" w:hAnsi="ＭＳ 明朝" w:cs="Adobe Song Std L"/>
                <w:color w:val="000000" w:themeColor="text1"/>
                <w:szCs w:val="21"/>
              </w:rPr>
              <w:t>など，いろいろな場合が扱われている。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3章　三角比」では，中学校で学んだ三角形の相似条件や三平方の定理を用いることが多いので，それらを１項「三角形」として，タンジェントの直前で復習できるように配慮されている。(p.</w:t>
            </w:r>
            <w:r>
              <w:rPr>
                <w:rFonts w:ascii="ＭＳ 明朝" w:eastAsia="ＭＳ 明朝" w:hAnsi="ＭＳ 明朝" w:cs="Adobe Song Std L" w:hint="eastAsia"/>
                <w:color w:val="000000" w:themeColor="text1"/>
                <w:szCs w:val="21"/>
              </w:rPr>
              <w:t>104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105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三角比の相互関係では，三平方の定理による解法も，本文で丁寧に扱っている。（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114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115</w:t>
            </w:r>
            <w:r w:rsidRPr="00AB2889">
              <w:rPr>
                <w:rFonts w:ascii="ＭＳ 明朝" w:eastAsia="ＭＳ 明朝" w:hAnsi="ＭＳ 明朝" w:cs="Adobe Song Std L"/>
                <w:color w:val="000000" w:themeColor="text1"/>
                <w:szCs w:val="21"/>
              </w:rPr>
              <w:t>）</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4</w:t>
            </w:r>
            <w:r w:rsidRPr="00AB2889">
              <w:rPr>
                <w:rFonts w:ascii="ＭＳ 明朝" w:eastAsia="ＭＳ 明朝" w:hAnsi="ＭＳ 明朝" w:cs="Adobe Song Std L"/>
                <w:color w:val="000000" w:themeColor="text1"/>
                <w:szCs w:val="21"/>
              </w:rPr>
              <w:t>章　データの分析」では，</w:t>
            </w:r>
            <w:r>
              <w:rPr>
                <w:rFonts w:ascii="ＭＳ 明朝" w:eastAsia="ＭＳ 明朝" w:hAnsi="ＭＳ 明朝" w:cs="Adobe Song Std L" w:hint="eastAsia"/>
                <w:color w:val="000000" w:themeColor="text1"/>
                <w:szCs w:val="21"/>
              </w:rPr>
              <w:t>中学校で学んだ代表値、</w:t>
            </w:r>
            <w:r w:rsidRPr="00AB2889">
              <w:rPr>
                <w:rFonts w:ascii="ＭＳ 明朝" w:eastAsia="ＭＳ 明朝" w:hAnsi="ＭＳ 明朝" w:cs="Adobe Song Std L"/>
                <w:color w:val="000000" w:themeColor="text1"/>
                <w:szCs w:val="21"/>
              </w:rPr>
              <w:t>四分位数と箱ひげ図</w:t>
            </w:r>
            <w:r>
              <w:rPr>
                <w:rFonts w:ascii="ＭＳ 明朝" w:eastAsia="ＭＳ 明朝" w:hAnsi="ＭＳ 明朝" w:cs="Adobe Song Std L" w:hint="eastAsia"/>
                <w:color w:val="000000" w:themeColor="text1"/>
                <w:szCs w:val="21"/>
              </w:rPr>
              <w:t>について復習できるように配慮されている</w:t>
            </w:r>
            <w:r w:rsidRPr="00AB2889">
              <w:rPr>
                <w:rFonts w:ascii="ＭＳ 明朝" w:eastAsia="ＭＳ 明朝" w:hAnsi="ＭＳ 明朝" w:cs="Adobe Song Std L"/>
                <w:color w:val="000000" w:themeColor="text1"/>
                <w:szCs w:val="21"/>
              </w:rPr>
              <w:t xml:space="preserve"> (p.13</w:t>
            </w:r>
            <w:r>
              <w:rPr>
                <w:rFonts w:ascii="ＭＳ 明朝" w:eastAsia="ＭＳ 明朝" w:hAnsi="ＭＳ 明朝" w:cs="Adobe Song Std L" w:hint="eastAsia"/>
                <w:color w:val="000000" w:themeColor="text1"/>
                <w:szCs w:val="21"/>
              </w:rPr>
              <w:t>6</w:t>
            </w:r>
            <w:r w:rsidRPr="00AB2889">
              <w:rPr>
                <w:rFonts w:ascii="ＭＳ 明朝" w:eastAsia="ＭＳ 明朝" w:hAnsi="ＭＳ 明朝" w:cs="Adobe Song Std L"/>
                <w:color w:val="000000" w:themeColor="text1"/>
                <w:szCs w:val="21"/>
              </w:rPr>
              <w:t>～13</w:t>
            </w:r>
            <w:r>
              <w:rPr>
                <w:rFonts w:ascii="ＭＳ 明朝" w:eastAsia="ＭＳ 明朝" w:hAnsi="ＭＳ 明朝" w:cs="Adobe Song Std L" w:hint="eastAsia"/>
                <w:color w:val="000000" w:themeColor="text1"/>
                <w:szCs w:val="21"/>
              </w:rPr>
              <w:t>9</w:t>
            </w:r>
            <w:r w:rsidRPr="00AB2889">
              <w:rPr>
                <w:rFonts w:ascii="ＭＳ 明朝" w:eastAsia="ＭＳ 明朝" w:hAnsi="ＭＳ 明朝" w:cs="Adobe Song Std L"/>
                <w:color w:val="000000" w:themeColor="text1"/>
                <w:szCs w:val="21"/>
              </w:rPr>
              <w:t>))</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課題学習は，学習内容と</w:t>
            </w:r>
            <w:r>
              <w:rPr>
                <w:rFonts w:ascii="ＭＳ 明朝" w:eastAsia="ＭＳ 明朝" w:hAnsi="ＭＳ 明朝" w:cs="Adobe Song Std L" w:hint="eastAsia"/>
                <w:color w:val="000000" w:themeColor="text1"/>
                <w:szCs w:val="21"/>
              </w:rPr>
              <w:t>社会</w:t>
            </w:r>
            <w:r w:rsidRPr="00AB2889">
              <w:rPr>
                <w:rFonts w:ascii="ＭＳ 明朝" w:eastAsia="ＭＳ 明朝" w:hAnsi="ＭＳ 明朝" w:cs="Adobe Song Std L" w:hint="eastAsia"/>
                <w:color w:val="000000" w:themeColor="text1"/>
                <w:szCs w:val="21"/>
              </w:rPr>
              <w:t>との関連が十分に図られており，生徒の興味・関心を高める数学的活動を重視した課題が扱われている。</w:t>
            </w:r>
            <w:r w:rsidRPr="00AB2889">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62</w:t>
            </w:r>
            <w:r w:rsidRPr="00AB2889">
              <w:rPr>
                <w:rFonts w:ascii="ＭＳ 明朝" w:eastAsia="ＭＳ 明朝" w:hAnsi="ＭＳ 明朝" w:cs="Adobe Song Std L"/>
                <w:color w:val="000000" w:themeColor="text1"/>
                <w:szCs w:val="21"/>
              </w:rPr>
              <w:t>～1</w:t>
            </w:r>
            <w:r>
              <w:rPr>
                <w:rFonts w:ascii="ＭＳ 明朝" w:eastAsia="ＭＳ 明朝" w:hAnsi="ＭＳ 明朝" w:cs="Adobe Song Std L" w:hint="eastAsia"/>
                <w:color w:val="000000" w:themeColor="text1"/>
                <w:szCs w:val="21"/>
              </w:rPr>
              <w:t>65</w:t>
            </w:r>
            <w:r w:rsidRPr="00AB2889">
              <w:rPr>
                <w:rFonts w:ascii="ＭＳ 明朝" w:eastAsia="ＭＳ 明朝" w:hAnsi="ＭＳ 明朝" w:cs="Adobe Song Std L"/>
                <w:color w:val="000000" w:themeColor="text1"/>
                <w:szCs w:val="21"/>
              </w:rPr>
              <w:t>)</w:t>
            </w:r>
          </w:p>
        </w:tc>
      </w:tr>
    </w:tbl>
    <w:p w:rsidR="004A7EB7" w:rsidRDefault="004A7EB7" w:rsidP="004A7EB7">
      <w:pPr>
        <w:ind w:right="840"/>
        <w:rPr>
          <w:rFonts w:ascii="ＭＳ Ｐゴシック" w:eastAsia="ＭＳ Ｐゴシック" w:hAnsi="ＭＳ Ｐゴシック"/>
          <w:szCs w:val="21"/>
        </w:rPr>
      </w:pPr>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rsidR="004A7EB7" w:rsidRDefault="004A7EB7" w:rsidP="00F327D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rsidR="004A7EB7" w:rsidRPr="002C0F0A" w:rsidRDefault="004A7EB7" w:rsidP="00F327D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rsidR="004A7EB7" w:rsidRPr="003D33EB" w:rsidRDefault="004A7EB7" w:rsidP="004A7EB7">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rsidR="001A259F" w:rsidRPr="004A7EB7" w:rsidRDefault="001A259F"/>
    <w:sectPr w:rsidR="001A259F" w:rsidRPr="004A7EB7" w:rsidSect="002711ED">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BD" w:rsidRDefault="004C18BD" w:rsidP="00780615">
      <w:r>
        <w:separator/>
      </w:r>
    </w:p>
  </w:endnote>
  <w:endnote w:type="continuationSeparator" w:id="0">
    <w:p w:rsidR="004C18BD" w:rsidRDefault="004C18BD"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BD" w:rsidRDefault="004C18BD" w:rsidP="00780615">
      <w:r>
        <w:separator/>
      </w:r>
    </w:p>
  </w:footnote>
  <w:footnote w:type="continuationSeparator" w:id="0">
    <w:p w:rsidR="004C18BD" w:rsidRDefault="004C18BD"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15" w:rsidRPr="002711ED" w:rsidRDefault="002711ED" w:rsidP="002711ED">
    <w:pPr>
      <w:jc w:val="right"/>
      <w:rPr>
        <w:rFonts w:ascii="ＭＳ Ｐゴシック" w:eastAsia="ＭＳ Ｐゴシック" w:hAnsi="ＭＳ Ｐゴシック" w:hint="eastAsia"/>
        <w:sz w:val="18"/>
        <w:szCs w:val="18"/>
        <w:bdr w:val="single" w:sz="4" w:space="0" w:color="auto" w:frame="1"/>
      </w:rPr>
    </w:pPr>
    <w:r>
      <w:rPr>
        <w:rFonts w:ascii="ＭＳ Ｐゴシック" w:eastAsia="ＭＳ Ｐゴシック" w:hAnsi="ＭＳ Ｐゴシック" w:hint="eastAsia"/>
        <w:sz w:val="18"/>
        <w:szCs w:val="18"/>
        <w:bdr w:val="single" w:sz="4" w:space="0" w:color="auto" w:frame="1"/>
      </w:rPr>
      <w:t>令和5年度用内容解説資料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7"/>
    <w:rsid w:val="001A259F"/>
    <w:rsid w:val="002711ED"/>
    <w:rsid w:val="004A7EB7"/>
    <w:rsid w:val="004C18BD"/>
    <w:rsid w:val="0066579E"/>
    <w:rsid w:val="00780615"/>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458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2022-03-29T08:58:00Z</dcterms:created>
  <dcterms:modified xsi:type="dcterms:W3CDTF">2022-03-29T09:05:00Z</dcterms:modified>
</cp:coreProperties>
</file>