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D292" w14:textId="07941C91"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令和4年度用内容解説資料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616C7D3E" w:rsidR="002C0F0A" w:rsidRPr="007B2E68" w:rsidRDefault="00AB2889"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新</w:t>
      </w:r>
      <w:r w:rsidR="002C0F0A" w:rsidRPr="007B2E68">
        <w:rPr>
          <w:rFonts w:ascii="ＭＳ Ｐゴシック" w:eastAsia="ＭＳ Ｐゴシック" w:hAnsi="ＭＳ Ｐゴシック" w:hint="eastAsia"/>
          <w:sz w:val="20"/>
          <w:szCs w:val="20"/>
        </w:rPr>
        <w:t>数学Ⅰ</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2東書・数Ⅰ</w:t>
      </w:r>
      <w:r w:rsidR="00106A58">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4･705</w:t>
      </w:r>
      <w:r w:rsidR="002C0F0A" w:rsidRPr="007B2E68">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新</w:t>
      </w:r>
      <w:r w:rsidR="00E91010">
        <w:rPr>
          <w:rFonts w:ascii="ＭＳ Ｐゴシック" w:eastAsia="ＭＳ Ｐゴシック" w:hAnsi="ＭＳ Ｐゴシック"/>
          <w:sz w:val="20"/>
          <w:szCs w:val="20"/>
        </w:rPr>
        <w:t>数学Ａ</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2東書・数A</w:t>
      </w:r>
      <w:r w:rsidR="00106A58">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4/705</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9049E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E74B5" w:themeFill="accent5" w:themeFillShade="BF"/>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E74B5" w:themeFill="accent5" w:themeFillShade="BF"/>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E74B5" w:themeFill="accent5" w:themeFillShade="BF"/>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70E03FC9" w14:textId="22C86FDF"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65FBE5E6" w14:textId="07341C66"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各項の冒頭に「ねらい」を設け，目的意識をもって学習に取り組めるように配慮されている。</w:t>
            </w:r>
          </w:p>
          <w:p w14:paraId="0BAF8758" w14:textId="367E6165"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各ページ右段に，その問題を解くために必要な公式</w:t>
            </w:r>
            <w:r w:rsidR="0060105E">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知識，</w:t>
            </w:r>
            <w:r w:rsidR="0060105E">
              <w:rPr>
                <w:rFonts w:ascii="ＭＳ 明朝" w:eastAsia="ＭＳ 明朝" w:hAnsi="ＭＳ 明朝" w:cs="Adobe Song Std L" w:hint="eastAsia"/>
                <w:color w:val="000000" w:themeColor="text1"/>
                <w:szCs w:val="21"/>
              </w:rPr>
              <w:t>用語，解説，</w:t>
            </w:r>
            <w:r w:rsidRPr="00AB2889">
              <w:rPr>
                <w:rFonts w:ascii="ＭＳ 明朝" w:eastAsia="ＭＳ 明朝" w:hAnsi="ＭＳ 明朝" w:cs="Adobe Song Std L" w:hint="eastAsia"/>
                <w:color w:val="000000" w:themeColor="text1"/>
                <w:szCs w:val="21"/>
              </w:rPr>
              <w:t>注意すべき内容を取り上げた「側注」を設け，基礎的・基本的な知識や技能が確実に定着するように工夫されている。</w:t>
            </w:r>
          </w:p>
          <w:p w14:paraId="67E7E5D3" w14:textId="23377F66"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ページの右段には，適宜「ここに注意！」で正答と典型的な誤りを併記してその解説を記述し，注意を喚起して正しい理解に至るように工夫されている。</w:t>
            </w:r>
          </w:p>
          <w:p w14:paraId="12DF9ADE" w14:textId="77777777" w:rsidR="00FC65DD"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1章　数と式」では，整式は，文字式の表し方の規則の知識が必要であるので，その直前で「文字を使った式」が扱われている。(p.</w:t>
            </w:r>
            <w:r w:rsidR="00FC65DD">
              <w:rPr>
                <w:rFonts w:ascii="ＭＳ 明朝" w:eastAsia="ＭＳ 明朝" w:hAnsi="ＭＳ 明朝" w:cs="Adobe Song Std L" w:hint="eastAsia"/>
                <w:color w:val="000000" w:themeColor="text1"/>
                <w:szCs w:val="21"/>
              </w:rPr>
              <w:t>32</w:t>
            </w:r>
            <w:r w:rsidRPr="00AB2889">
              <w:rPr>
                <w:rFonts w:ascii="ＭＳ 明朝" w:eastAsia="ＭＳ 明朝" w:hAnsi="ＭＳ 明朝" w:cs="Adobe Song Std L"/>
                <w:color w:val="000000" w:themeColor="text1"/>
                <w:szCs w:val="21"/>
              </w:rPr>
              <w:t>～</w:t>
            </w:r>
            <w:r w:rsidR="00FC65DD">
              <w:rPr>
                <w:rFonts w:ascii="ＭＳ 明朝" w:eastAsia="ＭＳ 明朝" w:hAnsi="ＭＳ 明朝" w:cs="Adobe Song Std L" w:hint="eastAsia"/>
                <w:color w:val="000000" w:themeColor="text1"/>
                <w:szCs w:val="21"/>
              </w:rPr>
              <w:t>33</w:t>
            </w:r>
            <w:r w:rsidRPr="00AB2889">
              <w:rPr>
                <w:rFonts w:ascii="ＭＳ 明朝" w:eastAsia="ＭＳ 明朝" w:hAnsi="ＭＳ 明朝" w:cs="Adobe Song Std L"/>
                <w:color w:val="000000" w:themeColor="text1"/>
                <w:szCs w:val="21"/>
              </w:rPr>
              <w:t>)</w:t>
            </w:r>
            <w:r w:rsidRPr="00AB2889">
              <w:rPr>
                <w:rFonts w:ascii="ＭＳ 明朝" w:eastAsia="ＭＳ 明朝" w:hAnsi="ＭＳ 明朝" w:cs="Adobe Song Std L" w:hint="eastAsia"/>
                <w:color w:val="000000" w:themeColor="text1"/>
                <w:szCs w:val="21"/>
              </w:rPr>
              <w:t>因数分解のたすきがけの方法では，３パターンの失敗例を取り上げ，注意を喚起するように編集されている。（</w:t>
            </w:r>
            <w:r w:rsidRPr="00AB2889">
              <w:rPr>
                <w:rFonts w:ascii="ＭＳ 明朝" w:eastAsia="ＭＳ 明朝" w:hAnsi="ＭＳ 明朝" w:cs="Adobe Song Std L"/>
                <w:color w:val="000000" w:themeColor="text1"/>
                <w:szCs w:val="21"/>
              </w:rPr>
              <w:t>p.</w:t>
            </w:r>
            <w:r w:rsidR="00FC65DD">
              <w:rPr>
                <w:rFonts w:ascii="ＭＳ 明朝" w:eastAsia="ＭＳ 明朝" w:hAnsi="ＭＳ 明朝" w:cs="Adobe Song Std L" w:hint="eastAsia"/>
                <w:color w:val="000000" w:themeColor="text1"/>
                <w:szCs w:val="21"/>
              </w:rPr>
              <w:t>44～45</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１次不等式の直前で「１次方程式」を扱い，関連する既習内容を確認できるように配慮されている。</w:t>
            </w:r>
            <w:r w:rsidRPr="00AB2889">
              <w:rPr>
                <w:rFonts w:ascii="ＭＳ 明朝" w:eastAsia="ＭＳ 明朝" w:hAnsi="ＭＳ 明朝" w:cs="Adobe Song Std L"/>
                <w:color w:val="000000" w:themeColor="text1"/>
                <w:szCs w:val="21"/>
              </w:rPr>
              <w:t>(p.</w:t>
            </w:r>
            <w:r w:rsidR="00FC65DD">
              <w:rPr>
                <w:rFonts w:ascii="ＭＳ 明朝" w:eastAsia="ＭＳ 明朝" w:hAnsi="ＭＳ 明朝" w:cs="Adobe Song Std L" w:hint="eastAsia"/>
                <w:color w:val="000000" w:themeColor="text1"/>
                <w:szCs w:val="21"/>
              </w:rPr>
              <w:t>58</w:t>
            </w:r>
            <w:r w:rsidRPr="00AB2889">
              <w:rPr>
                <w:rFonts w:ascii="ＭＳ 明朝" w:eastAsia="ＭＳ 明朝" w:hAnsi="ＭＳ 明朝" w:cs="Adobe Song Std L"/>
                <w:color w:val="000000" w:themeColor="text1"/>
                <w:szCs w:val="21"/>
              </w:rPr>
              <w:t>～</w:t>
            </w:r>
            <w:r w:rsidR="00FC65DD">
              <w:rPr>
                <w:rFonts w:ascii="ＭＳ 明朝" w:eastAsia="ＭＳ 明朝" w:hAnsi="ＭＳ 明朝" w:cs="Adobe Song Std L" w:hint="eastAsia"/>
                <w:color w:val="000000" w:themeColor="text1"/>
                <w:szCs w:val="21"/>
              </w:rPr>
              <w:t>59</w:t>
            </w:r>
            <w:r w:rsidRPr="00AB2889">
              <w:rPr>
                <w:rFonts w:ascii="ＭＳ 明朝" w:eastAsia="ＭＳ 明朝" w:hAnsi="ＭＳ 明朝" w:cs="Adobe Song Std L"/>
                <w:color w:val="000000" w:themeColor="text1"/>
                <w:szCs w:val="21"/>
              </w:rPr>
              <w:t>)</w:t>
            </w:r>
          </w:p>
          <w:p w14:paraId="3581539B" w14:textId="3D19B8D5"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2章　２次関数」では，２次関数の限られた範囲での最大値・最小値は，定義域によってグラフの形状が変わり，最大値・最小値も変化することが重要なポイントであるため，２つの定義域が扱われている。(p.</w:t>
            </w:r>
            <w:r w:rsidR="00FC65DD">
              <w:rPr>
                <w:rFonts w:ascii="ＭＳ 明朝" w:eastAsia="ＭＳ 明朝" w:hAnsi="ＭＳ 明朝" w:cs="Adobe Song Std L" w:hint="eastAsia"/>
                <w:color w:val="000000" w:themeColor="text1"/>
                <w:szCs w:val="21"/>
              </w:rPr>
              <w:t>94</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２次不等式では，因数分解できる２次式が正や負</w:t>
            </w:r>
            <w:r w:rsidRPr="00AB2889">
              <w:rPr>
                <w:rFonts w:ascii="ＭＳ 明朝" w:eastAsia="ＭＳ 明朝" w:hAnsi="ＭＳ 明朝" w:cs="Adobe Song Std L"/>
                <w:color w:val="000000" w:themeColor="text1"/>
                <w:szCs w:val="21"/>
              </w:rPr>
              <w:t>(等号も含む)になる場合</w:t>
            </w:r>
            <w:r w:rsidR="00F3211E">
              <w:rPr>
                <w:rFonts w:ascii="ＭＳ 明朝" w:eastAsia="ＭＳ 明朝" w:hAnsi="ＭＳ 明朝" w:cs="Adobe Song Std L" w:hint="eastAsia"/>
                <w:color w:val="000000" w:themeColor="text1"/>
                <w:szCs w:val="21"/>
              </w:rPr>
              <w:t>（p.98～99）</w:t>
            </w:r>
            <w:r w:rsidRPr="00AB2889">
              <w:rPr>
                <w:rFonts w:ascii="ＭＳ 明朝" w:eastAsia="ＭＳ 明朝" w:hAnsi="ＭＳ 明朝" w:cs="Adobe Song Std L"/>
                <w:color w:val="000000" w:themeColor="text1"/>
                <w:szCs w:val="21"/>
              </w:rPr>
              <w:t>，解の公式を用いて解く場合</w:t>
            </w:r>
            <w:r w:rsidR="00F3211E">
              <w:rPr>
                <w:rFonts w:ascii="ＭＳ 明朝" w:eastAsia="ＭＳ 明朝" w:hAnsi="ＭＳ 明朝" w:cs="Adobe Song Std L" w:hint="eastAsia"/>
                <w:color w:val="000000" w:themeColor="text1"/>
                <w:szCs w:val="21"/>
              </w:rPr>
              <w:t>（ｐ.100）</w:t>
            </w:r>
            <w:r w:rsidRPr="00AB2889">
              <w:rPr>
                <w:rFonts w:ascii="ＭＳ 明朝" w:eastAsia="ＭＳ 明朝" w:hAnsi="ＭＳ 明朝" w:cs="Adobe Song Std L"/>
                <w:color w:val="000000" w:themeColor="text1"/>
                <w:szCs w:val="21"/>
              </w:rPr>
              <w:t>，２次の係数が負の場合</w:t>
            </w:r>
            <w:r w:rsidR="00F3211E">
              <w:rPr>
                <w:rFonts w:ascii="ＭＳ 明朝" w:eastAsia="ＭＳ 明朝" w:hAnsi="ＭＳ 明朝" w:cs="Adobe Song Std L" w:hint="eastAsia"/>
                <w:color w:val="000000" w:themeColor="text1"/>
                <w:szCs w:val="21"/>
              </w:rPr>
              <w:t>（p.101）</w:t>
            </w:r>
            <w:r w:rsidRPr="00AB2889">
              <w:rPr>
                <w:rFonts w:ascii="ＭＳ 明朝" w:eastAsia="ＭＳ 明朝" w:hAnsi="ＭＳ 明朝" w:cs="Adobe Song Std L"/>
                <w:color w:val="000000" w:themeColor="text1"/>
                <w:szCs w:val="21"/>
              </w:rPr>
              <w:t>など，いろいろな場合が扱われている。</w:t>
            </w:r>
          </w:p>
          <w:p w14:paraId="390B941A" w14:textId="43C74E04"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3章　三角比」では，中学校で学んだ三角形の相似条件や三平方の定理を用いることが多いので，それらを１項「三角形」として，タンジェントの直前で復習できるように配慮されている。(p.</w:t>
            </w:r>
            <w:r w:rsidR="00F3211E">
              <w:rPr>
                <w:rFonts w:ascii="ＭＳ 明朝" w:eastAsia="ＭＳ 明朝" w:hAnsi="ＭＳ 明朝" w:cs="Adobe Song Std L" w:hint="eastAsia"/>
                <w:color w:val="000000" w:themeColor="text1"/>
                <w:szCs w:val="21"/>
              </w:rPr>
              <w:t>104</w:t>
            </w:r>
            <w:r w:rsidRPr="00AB2889">
              <w:rPr>
                <w:rFonts w:ascii="ＭＳ 明朝" w:eastAsia="ＭＳ 明朝" w:hAnsi="ＭＳ 明朝" w:cs="Adobe Song Std L"/>
                <w:color w:val="000000" w:themeColor="text1"/>
                <w:szCs w:val="21"/>
              </w:rPr>
              <w:t>～</w:t>
            </w:r>
            <w:r w:rsidR="00F3211E">
              <w:rPr>
                <w:rFonts w:ascii="ＭＳ 明朝" w:eastAsia="ＭＳ 明朝" w:hAnsi="ＭＳ 明朝" w:cs="Adobe Song Std L" w:hint="eastAsia"/>
                <w:color w:val="000000" w:themeColor="text1"/>
                <w:szCs w:val="21"/>
              </w:rPr>
              <w:t>105</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三角比の相互関係では，三平方の定理による解法も，本文で丁寧に扱っている。（</w:t>
            </w:r>
            <w:r w:rsidRPr="00AB2889">
              <w:rPr>
                <w:rFonts w:ascii="ＭＳ 明朝" w:eastAsia="ＭＳ 明朝" w:hAnsi="ＭＳ 明朝" w:cs="Adobe Song Std L"/>
                <w:color w:val="000000" w:themeColor="text1"/>
                <w:szCs w:val="21"/>
              </w:rPr>
              <w:t>p.</w:t>
            </w:r>
            <w:r w:rsidR="00F3211E">
              <w:rPr>
                <w:rFonts w:ascii="ＭＳ 明朝" w:eastAsia="ＭＳ 明朝" w:hAnsi="ＭＳ 明朝" w:cs="Adobe Song Std L" w:hint="eastAsia"/>
                <w:color w:val="000000" w:themeColor="text1"/>
                <w:szCs w:val="21"/>
              </w:rPr>
              <w:t>114</w:t>
            </w:r>
            <w:r w:rsidRPr="00AB2889">
              <w:rPr>
                <w:rFonts w:ascii="ＭＳ 明朝" w:eastAsia="ＭＳ 明朝" w:hAnsi="ＭＳ 明朝" w:cs="Adobe Song Std L"/>
                <w:color w:val="000000" w:themeColor="text1"/>
                <w:szCs w:val="21"/>
              </w:rPr>
              <w:t>～</w:t>
            </w:r>
            <w:r w:rsidR="00F3211E">
              <w:rPr>
                <w:rFonts w:ascii="ＭＳ 明朝" w:eastAsia="ＭＳ 明朝" w:hAnsi="ＭＳ 明朝" w:cs="Adobe Song Std L" w:hint="eastAsia"/>
                <w:color w:val="000000" w:themeColor="text1"/>
                <w:szCs w:val="21"/>
              </w:rPr>
              <w:t>115</w:t>
            </w:r>
            <w:r w:rsidRPr="00AB2889">
              <w:rPr>
                <w:rFonts w:ascii="ＭＳ 明朝" w:eastAsia="ＭＳ 明朝" w:hAnsi="ＭＳ 明朝" w:cs="Adobe Song Std L"/>
                <w:color w:val="000000" w:themeColor="text1"/>
                <w:szCs w:val="21"/>
              </w:rPr>
              <w:t>）</w:t>
            </w:r>
          </w:p>
          <w:p w14:paraId="24F726C9" w14:textId="1311E697" w:rsid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00F3211E">
              <w:rPr>
                <w:rFonts w:ascii="ＭＳ 明朝" w:eastAsia="ＭＳ 明朝" w:hAnsi="ＭＳ 明朝" w:cs="Adobe Song Std L" w:hint="eastAsia"/>
                <w:color w:val="000000" w:themeColor="text1"/>
                <w:szCs w:val="21"/>
              </w:rPr>
              <w:t>4</w:t>
            </w:r>
            <w:r w:rsidRPr="00AB2889">
              <w:rPr>
                <w:rFonts w:ascii="ＭＳ 明朝" w:eastAsia="ＭＳ 明朝" w:hAnsi="ＭＳ 明朝" w:cs="Adobe Song Std L"/>
                <w:color w:val="000000" w:themeColor="text1"/>
                <w:szCs w:val="21"/>
              </w:rPr>
              <w:t>章　データの分析」では，</w:t>
            </w:r>
            <w:r w:rsidR="00F3211E">
              <w:rPr>
                <w:rFonts w:ascii="ＭＳ 明朝" w:eastAsia="ＭＳ 明朝" w:hAnsi="ＭＳ 明朝" w:cs="Adobe Song Std L" w:hint="eastAsia"/>
                <w:color w:val="000000" w:themeColor="text1"/>
                <w:szCs w:val="21"/>
              </w:rPr>
              <w:t>中学校で学んだ代表値、</w:t>
            </w:r>
            <w:r w:rsidRPr="00AB2889">
              <w:rPr>
                <w:rFonts w:ascii="ＭＳ 明朝" w:eastAsia="ＭＳ 明朝" w:hAnsi="ＭＳ 明朝" w:cs="Adobe Song Std L"/>
                <w:color w:val="000000" w:themeColor="text1"/>
                <w:szCs w:val="21"/>
              </w:rPr>
              <w:t>四分位数と箱ひげ図</w:t>
            </w:r>
            <w:r w:rsidR="003E22C4">
              <w:rPr>
                <w:rFonts w:ascii="ＭＳ 明朝" w:eastAsia="ＭＳ 明朝" w:hAnsi="ＭＳ 明朝" w:cs="Adobe Song Std L" w:hint="eastAsia"/>
                <w:color w:val="000000" w:themeColor="text1"/>
                <w:szCs w:val="21"/>
              </w:rPr>
              <w:t>について復習できるように配慮されている</w:t>
            </w:r>
            <w:r w:rsidR="003E22C4" w:rsidRPr="00AB2889">
              <w:rPr>
                <w:rFonts w:ascii="ＭＳ 明朝" w:eastAsia="ＭＳ 明朝" w:hAnsi="ＭＳ 明朝" w:cs="Adobe Song Std L"/>
                <w:color w:val="000000" w:themeColor="text1"/>
                <w:szCs w:val="21"/>
              </w:rPr>
              <w:t xml:space="preserve"> </w:t>
            </w:r>
            <w:r w:rsidRPr="00AB2889">
              <w:rPr>
                <w:rFonts w:ascii="ＭＳ 明朝" w:eastAsia="ＭＳ 明朝" w:hAnsi="ＭＳ 明朝" w:cs="Adobe Song Std L"/>
                <w:color w:val="000000" w:themeColor="text1"/>
                <w:szCs w:val="21"/>
              </w:rPr>
              <w:t>(p.13</w:t>
            </w:r>
            <w:r w:rsidR="003E22C4">
              <w:rPr>
                <w:rFonts w:ascii="ＭＳ 明朝" w:eastAsia="ＭＳ 明朝" w:hAnsi="ＭＳ 明朝" w:cs="Adobe Song Std L" w:hint="eastAsia"/>
                <w:color w:val="000000" w:themeColor="text1"/>
                <w:szCs w:val="21"/>
              </w:rPr>
              <w:t>6</w:t>
            </w:r>
            <w:r w:rsidRPr="00AB2889">
              <w:rPr>
                <w:rFonts w:ascii="ＭＳ 明朝" w:eastAsia="ＭＳ 明朝" w:hAnsi="ＭＳ 明朝" w:cs="Adobe Song Std L"/>
                <w:color w:val="000000" w:themeColor="text1"/>
                <w:szCs w:val="21"/>
              </w:rPr>
              <w:t>～13</w:t>
            </w:r>
            <w:r w:rsidR="003E22C4">
              <w:rPr>
                <w:rFonts w:ascii="ＭＳ 明朝" w:eastAsia="ＭＳ 明朝" w:hAnsi="ＭＳ 明朝" w:cs="Adobe Song Std L" w:hint="eastAsia"/>
                <w:color w:val="000000" w:themeColor="text1"/>
                <w:szCs w:val="21"/>
              </w:rPr>
              <w:t>9</w:t>
            </w:r>
            <w:r w:rsidRPr="00AB2889">
              <w:rPr>
                <w:rFonts w:ascii="ＭＳ 明朝" w:eastAsia="ＭＳ 明朝" w:hAnsi="ＭＳ 明朝" w:cs="Adobe Song Std L"/>
                <w:color w:val="000000" w:themeColor="text1"/>
                <w:szCs w:val="21"/>
              </w:rPr>
              <w:t>))</w:t>
            </w:r>
          </w:p>
          <w:p w14:paraId="25E720C2" w14:textId="2F9C4E50" w:rsidR="005B3198" w:rsidRPr="00C1378B"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課題学習は，学習内容と</w:t>
            </w:r>
            <w:r w:rsidR="003E22C4">
              <w:rPr>
                <w:rFonts w:ascii="ＭＳ 明朝" w:eastAsia="ＭＳ 明朝" w:hAnsi="ＭＳ 明朝" w:cs="Adobe Song Std L" w:hint="eastAsia"/>
                <w:color w:val="000000" w:themeColor="text1"/>
                <w:szCs w:val="21"/>
              </w:rPr>
              <w:t>社会</w:t>
            </w:r>
            <w:r w:rsidRPr="00AB2889">
              <w:rPr>
                <w:rFonts w:ascii="ＭＳ 明朝" w:eastAsia="ＭＳ 明朝" w:hAnsi="ＭＳ 明朝" w:cs="Adobe Song Std L" w:hint="eastAsia"/>
                <w:color w:val="000000" w:themeColor="text1"/>
                <w:szCs w:val="21"/>
              </w:rPr>
              <w:t>との関連が十分に図られており，生徒の興味・関心を高める数学的活動を重視した課題が扱われている。</w:t>
            </w:r>
            <w:r w:rsidRPr="00AB2889">
              <w:rPr>
                <w:rFonts w:ascii="ＭＳ 明朝" w:eastAsia="ＭＳ 明朝" w:hAnsi="ＭＳ 明朝" w:cs="Adobe Song Std L"/>
                <w:color w:val="000000" w:themeColor="text1"/>
                <w:szCs w:val="21"/>
              </w:rPr>
              <w:t>(p.1</w:t>
            </w:r>
            <w:r w:rsidR="003E22C4">
              <w:rPr>
                <w:rFonts w:ascii="ＭＳ 明朝" w:eastAsia="ＭＳ 明朝" w:hAnsi="ＭＳ 明朝" w:cs="Adobe Song Std L" w:hint="eastAsia"/>
                <w:color w:val="000000" w:themeColor="text1"/>
                <w:szCs w:val="21"/>
              </w:rPr>
              <w:t>62</w:t>
            </w:r>
            <w:r w:rsidRPr="00AB2889">
              <w:rPr>
                <w:rFonts w:ascii="ＭＳ 明朝" w:eastAsia="ＭＳ 明朝" w:hAnsi="ＭＳ 明朝" w:cs="Adobe Song Std L"/>
                <w:color w:val="000000" w:themeColor="text1"/>
                <w:szCs w:val="21"/>
              </w:rPr>
              <w:t>～1</w:t>
            </w:r>
            <w:r w:rsidR="003E22C4">
              <w:rPr>
                <w:rFonts w:ascii="ＭＳ 明朝" w:eastAsia="ＭＳ 明朝" w:hAnsi="ＭＳ 明朝" w:cs="Adobe Song Std L" w:hint="eastAsia"/>
                <w:color w:val="000000" w:themeColor="text1"/>
                <w:szCs w:val="21"/>
              </w:rPr>
              <w:t>65</w:t>
            </w:r>
            <w:r w:rsidRPr="00AB2889">
              <w:rPr>
                <w:rFonts w:ascii="ＭＳ 明朝" w:eastAsia="ＭＳ 明朝" w:hAnsi="ＭＳ 明朝" w:cs="Adobe Song Std L"/>
                <w:color w:val="000000" w:themeColor="text1"/>
                <w:szCs w:val="21"/>
              </w:rPr>
              <w:t>)</w:t>
            </w:r>
          </w:p>
        </w:tc>
      </w:tr>
      <w:tr w:rsidR="005B3198" w:rsidRPr="002C0F0A" w14:paraId="02D08B93" w14:textId="72477F84" w:rsidTr="009049E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EEAF6" w:themeFill="accent5" w:themeFillTint="33"/>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DEEAF6" w:themeFill="accent5" w:themeFillTint="33"/>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EEAF6" w:themeFill="accent5" w:themeFillTint="33"/>
          </w:tcPr>
          <w:p w14:paraId="6048E83E" w14:textId="0EBA8224"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学習指導要領に示された「内容」と「内容の取扱い」に準拠していて，生徒の実態に即した必要かつ十分な内容が適切に組織・配列されている。</w:t>
            </w:r>
          </w:p>
          <w:p w14:paraId="6802786C" w14:textId="44DEEB87"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導入は</w:t>
            </w:r>
            <w:r w:rsidR="003E22C4">
              <w:rPr>
                <w:rFonts w:ascii="ＭＳ 明朝" w:eastAsia="ＭＳ 明朝" w:hAnsi="ＭＳ 明朝" w:cs="Adobe Song Std L" w:hint="eastAsia"/>
                <w:color w:val="000000" w:themeColor="text1"/>
                <w:szCs w:val="21"/>
              </w:rPr>
              <w:t>，生徒の身近な場面の</w:t>
            </w:r>
            <w:r w:rsidRPr="00AB2889">
              <w:rPr>
                <w:rFonts w:ascii="ＭＳ 明朝" w:eastAsia="ＭＳ 明朝" w:hAnsi="ＭＳ 明朝" w:cs="Adobe Song Std L" w:hint="eastAsia"/>
                <w:color w:val="000000" w:themeColor="text1"/>
                <w:szCs w:val="21"/>
              </w:rPr>
              <w:t>具体例から入り一般化されており，学習の意義や有用性を重視した構成になっている。</w:t>
            </w:r>
          </w:p>
          <w:p w14:paraId="41D2C8A3" w14:textId="437A1E98" w:rsid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序章</w:t>
            </w:r>
            <w:r w:rsidR="003E22C4">
              <w:rPr>
                <w:rFonts w:ascii="ＭＳ 明朝" w:eastAsia="ＭＳ 明朝" w:hAnsi="ＭＳ 明朝" w:cs="Adobe Song Std L" w:hint="eastAsia"/>
                <w:color w:val="000000" w:themeColor="text1"/>
                <w:szCs w:val="21"/>
              </w:rPr>
              <w:t>の「数の計算」」では</w:t>
            </w:r>
            <w:r w:rsidRPr="00AB2889">
              <w:rPr>
                <w:rFonts w:ascii="ＭＳ 明朝" w:eastAsia="ＭＳ 明朝" w:hAnsi="ＭＳ 明朝" w:cs="Adobe Song Std L" w:hint="eastAsia"/>
                <w:color w:val="000000" w:themeColor="text1"/>
                <w:szCs w:val="21"/>
              </w:rPr>
              <w:t>，</w:t>
            </w:r>
            <w:r w:rsidR="003E22C4">
              <w:rPr>
                <w:rFonts w:ascii="ＭＳ 明朝" w:eastAsia="ＭＳ 明朝" w:hAnsi="ＭＳ 明朝" w:cs="Adobe Song Std L" w:hint="eastAsia"/>
                <w:color w:val="000000" w:themeColor="text1"/>
                <w:szCs w:val="21"/>
              </w:rPr>
              <w:t>小・</w:t>
            </w:r>
            <w:r w:rsidRPr="00AB2889">
              <w:rPr>
                <w:rFonts w:ascii="ＭＳ 明朝" w:eastAsia="ＭＳ 明朝" w:hAnsi="ＭＳ 明朝" w:cs="Adobe Song Std L" w:hint="eastAsia"/>
                <w:color w:val="000000" w:themeColor="text1"/>
                <w:szCs w:val="21"/>
              </w:rPr>
              <w:t>中学校の基礎計算に加え，</w:t>
            </w:r>
            <w:r w:rsidR="003E22C4">
              <w:rPr>
                <w:rFonts w:ascii="ＭＳ 明朝" w:eastAsia="ＭＳ 明朝" w:hAnsi="ＭＳ 明朝" w:cs="Adobe Song Std L" w:hint="eastAsia"/>
                <w:color w:val="000000" w:themeColor="text1"/>
                <w:szCs w:val="21"/>
              </w:rPr>
              <w:t>公倍数，公約数，割合，速さ，四捨五入</w:t>
            </w:r>
            <w:r w:rsidRPr="00AB2889">
              <w:rPr>
                <w:rFonts w:ascii="ＭＳ 明朝" w:eastAsia="ＭＳ 明朝" w:hAnsi="ＭＳ 明朝" w:cs="Adobe Song Std L" w:hint="eastAsia"/>
                <w:color w:val="000000" w:themeColor="text1"/>
                <w:szCs w:val="21"/>
              </w:rPr>
              <w:t>も扱い，高校数学にスムーズに移行できるように配慮されている。</w:t>
            </w:r>
            <w:r w:rsidRPr="00AB2889">
              <w:rPr>
                <w:rFonts w:ascii="ＭＳ 明朝" w:eastAsia="ＭＳ 明朝" w:hAnsi="ＭＳ 明朝" w:cs="Adobe Song Std L"/>
                <w:color w:val="000000" w:themeColor="text1"/>
                <w:szCs w:val="21"/>
              </w:rPr>
              <w:t>(p.</w:t>
            </w:r>
            <w:r w:rsidR="003E22C4">
              <w:rPr>
                <w:rFonts w:ascii="ＭＳ 明朝" w:eastAsia="ＭＳ 明朝" w:hAnsi="ＭＳ 明朝" w:cs="Adobe Song Std L" w:hint="eastAsia"/>
                <w:color w:val="000000" w:themeColor="text1"/>
                <w:szCs w:val="21"/>
              </w:rPr>
              <w:t>3</w:t>
            </w:r>
            <w:r w:rsidRPr="00AB2889">
              <w:rPr>
                <w:rFonts w:ascii="ＭＳ 明朝" w:eastAsia="ＭＳ 明朝" w:hAnsi="ＭＳ 明朝" w:cs="Adobe Song Std L"/>
                <w:color w:val="000000" w:themeColor="text1"/>
                <w:szCs w:val="21"/>
              </w:rPr>
              <w:t>～</w:t>
            </w:r>
            <w:r w:rsidR="003E22C4">
              <w:rPr>
                <w:rFonts w:ascii="ＭＳ 明朝" w:eastAsia="ＭＳ 明朝" w:hAnsi="ＭＳ 明朝" w:cs="Adobe Song Std L" w:hint="eastAsia"/>
                <w:color w:val="000000" w:themeColor="text1"/>
                <w:szCs w:val="21"/>
              </w:rPr>
              <w:t>30</w:t>
            </w:r>
            <w:r w:rsidRPr="00AB2889">
              <w:rPr>
                <w:rFonts w:ascii="ＭＳ 明朝" w:eastAsia="ＭＳ 明朝" w:hAnsi="ＭＳ 明朝" w:cs="Adobe Song Std L"/>
                <w:color w:val="000000" w:themeColor="text1"/>
                <w:szCs w:val="21"/>
              </w:rPr>
              <w:t>)</w:t>
            </w:r>
          </w:p>
          <w:p w14:paraId="3EF487E2" w14:textId="3145E82A" w:rsidR="001218AD" w:rsidRPr="00AB2889" w:rsidRDefault="001218AD"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各節や項の導入で中学校の復習を取り上げるなど，中学校までの学習が未消化な生徒に配慮されている。</w:t>
            </w:r>
          </w:p>
          <w:p w14:paraId="63FD2DBD" w14:textId="61E869A6" w:rsidR="005B3198" w:rsidRPr="00C1378B" w:rsidRDefault="00AB2889" w:rsidP="001218AD">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巻末には</w:t>
            </w:r>
            <w:r w:rsidR="003E22C4">
              <w:rPr>
                <w:rFonts w:ascii="ＭＳ 明朝" w:eastAsia="ＭＳ 明朝" w:hAnsi="ＭＳ 明朝" w:cs="Adobe Song Std L" w:hint="eastAsia"/>
                <w:color w:val="000000" w:themeColor="text1"/>
                <w:szCs w:val="21"/>
              </w:rPr>
              <w:t>索引が配置され，</w:t>
            </w:r>
            <w:r w:rsidR="003E22C4" w:rsidRPr="003E22C4">
              <w:rPr>
                <w:rFonts w:ascii="ＭＳ 明朝" w:eastAsia="ＭＳ 明朝" w:hAnsi="ＭＳ 明朝" w:cs="Adobe Song Std L" w:hint="eastAsia"/>
                <w:color w:val="000000" w:themeColor="text1"/>
                <w:szCs w:val="21"/>
              </w:rPr>
              <w:t>検索性を高めてい</w:t>
            </w:r>
            <w:r w:rsidR="003E22C4">
              <w:rPr>
                <w:rFonts w:ascii="ＭＳ 明朝" w:eastAsia="ＭＳ 明朝" w:hAnsi="ＭＳ 明朝" w:cs="Adobe Song Std L" w:hint="eastAsia"/>
                <w:color w:val="000000" w:themeColor="text1"/>
                <w:szCs w:val="21"/>
              </w:rPr>
              <w:t>る</w:t>
            </w:r>
            <w:r w:rsidR="003E22C4" w:rsidRPr="003E22C4">
              <w:rPr>
                <w:rFonts w:ascii="ＭＳ 明朝" w:eastAsia="ＭＳ 明朝" w:hAnsi="ＭＳ 明朝" w:cs="Adobe Song Std L" w:hint="eastAsia"/>
                <w:color w:val="000000" w:themeColor="text1"/>
                <w:szCs w:val="21"/>
              </w:rPr>
              <w:t>。</w:t>
            </w:r>
            <w:r w:rsidR="001218AD">
              <w:rPr>
                <w:rFonts w:ascii="ＭＳ 明朝" w:eastAsia="ＭＳ 明朝" w:hAnsi="ＭＳ 明朝" w:cs="Adobe Song Std L" w:hint="eastAsia"/>
                <w:color w:val="000000" w:themeColor="text1"/>
                <w:szCs w:val="21"/>
              </w:rPr>
              <w:t>また，</w:t>
            </w:r>
            <w:r w:rsidR="003E22C4" w:rsidRPr="003E22C4">
              <w:rPr>
                <w:rFonts w:ascii="ＭＳ 明朝" w:eastAsia="ＭＳ 明朝" w:hAnsi="ＭＳ 明朝" w:cs="Adobe Song Std L" w:hint="eastAsia"/>
                <w:color w:val="000000" w:themeColor="text1"/>
                <w:szCs w:val="21"/>
              </w:rPr>
              <w:t>用語にはふりがなを付し，記号も取り上げてい</w:t>
            </w:r>
            <w:r w:rsidR="001218AD">
              <w:rPr>
                <w:rFonts w:ascii="ＭＳ 明朝" w:eastAsia="ＭＳ 明朝" w:hAnsi="ＭＳ 明朝" w:cs="Adobe Song Std L" w:hint="eastAsia"/>
                <w:color w:val="000000" w:themeColor="text1"/>
                <w:szCs w:val="21"/>
              </w:rPr>
              <w:t>る。（p.168～169）</w:t>
            </w:r>
          </w:p>
        </w:tc>
      </w:tr>
      <w:tr w:rsidR="005B3198"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F955679" w14:textId="43270BF2"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大判（</w:t>
            </w:r>
            <w:r w:rsidRPr="00AB2889">
              <w:rPr>
                <w:rFonts w:ascii="ＭＳ 明朝" w:eastAsia="ＭＳ 明朝" w:hAnsi="ＭＳ 明朝" w:cs="Adobe Song Std L"/>
                <w:color w:val="000000" w:themeColor="text1"/>
                <w:szCs w:val="21"/>
              </w:rPr>
              <w:t>B5判）でかつ見開き２ページ構成と，見やすく，学習しやすいように編集されている。</w:t>
            </w:r>
          </w:p>
          <w:p w14:paraId="3F23311B" w14:textId="096EDA45"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全編を通して本文の理解を助けるように，図，イラスト，写真が多用されている。</w:t>
            </w:r>
          </w:p>
          <w:p w14:paraId="441FA7C8" w14:textId="612C8F1A"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本文は，文節の区切りで改行され</w:t>
            </w:r>
            <w:r w:rsidR="001218AD">
              <w:rPr>
                <w:rFonts w:ascii="ＭＳ 明朝" w:eastAsia="ＭＳ 明朝" w:hAnsi="ＭＳ 明朝" w:cs="Adobe Song Std L" w:hint="eastAsia"/>
                <w:color w:val="000000" w:themeColor="text1"/>
                <w:szCs w:val="21"/>
              </w:rPr>
              <w:t>，漢字にはふりがなが付され</w:t>
            </w:r>
            <w:r w:rsidRPr="00AB2889">
              <w:rPr>
                <w:rFonts w:ascii="ＭＳ 明朝" w:eastAsia="ＭＳ 明朝" w:hAnsi="ＭＳ 明朝" w:cs="Adobe Song Std L" w:hint="eastAsia"/>
                <w:color w:val="000000" w:themeColor="text1"/>
                <w:szCs w:val="21"/>
              </w:rPr>
              <w:t>ており，文章が読み取りやすくなっている。</w:t>
            </w:r>
          </w:p>
          <w:p w14:paraId="0D748EBB" w14:textId="53C23664"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色を適切に使い，視覚的に理解をサポートするように配慮されている。</w:t>
            </w:r>
          </w:p>
          <w:p w14:paraId="4B946510" w14:textId="55B86A2B" w:rsidR="00AB2889" w:rsidRPr="00AB2889" w:rsidRDefault="001218AD"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AB2889" w:rsidRPr="00AB2889">
              <w:rPr>
                <w:rFonts w:ascii="ＭＳ 明朝" w:eastAsia="ＭＳ 明朝" w:hAnsi="ＭＳ 明朝" w:cs="Adobe Song Std L" w:hint="eastAsia"/>
                <w:color w:val="000000" w:themeColor="text1"/>
                <w:szCs w:val="21"/>
              </w:rPr>
              <w:t>用語・記号は統一されており，記述の仕方も適切である。</w:t>
            </w:r>
          </w:p>
          <w:p w14:paraId="46CE5B40" w14:textId="6E2D5C51" w:rsidR="00AB2889" w:rsidRPr="00AB2889" w:rsidRDefault="00AB2889" w:rsidP="00AB2889">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各章末の「章のまとめ」では，学習した重要事項が確認できるようになっている。</w:t>
            </w:r>
          </w:p>
          <w:p w14:paraId="4C5204DA" w14:textId="15B94288" w:rsidR="005B3198" w:rsidRPr="00C1378B" w:rsidRDefault="00AB2889" w:rsidP="001218AD">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001218AD">
              <w:rPr>
                <w:rFonts w:ascii="ＭＳ 明朝" w:eastAsia="ＭＳ 明朝" w:hAnsi="ＭＳ 明朝" w:cs="Adobe Song Std L" w:hint="eastAsia"/>
                <w:color w:val="000000" w:themeColor="text1"/>
                <w:szCs w:val="21"/>
              </w:rPr>
              <w:t>別冊で</w:t>
            </w:r>
            <w:r w:rsidRPr="00AB2889">
              <w:rPr>
                <w:rFonts w:ascii="ＭＳ 明朝" w:eastAsia="ＭＳ 明朝" w:hAnsi="ＭＳ 明朝" w:cs="Adobe Song Std L" w:hint="eastAsia"/>
                <w:color w:val="000000" w:themeColor="text1"/>
                <w:szCs w:val="21"/>
              </w:rPr>
              <w:t>，本書内で扱われているすべての問題に対する</w:t>
            </w:r>
            <w:r w:rsidR="001218AD">
              <w:rPr>
                <w:rFonts w:ascii="ＭＳ 明朝" w:eastAsia="ＭＳ 明朝" w:hAnsi="ＭＳ 明朝" w:cs="Adobe Song Std L" w:hint="eastAsia"/>
                <w:color w:val="000000" w:themeColor="text1"/>
                <w:szCs w:val="21"/>
              </w:rPr>
              <w:t>詳しい</w:t>
            </w:r>
            <w:r w:rsidRPr="00AB2889">
              <w:rPr>
                <w:rFonts w:ascii="ＭＳ 明朝" w:eastAsia="ＭＳ 明朝" w:hAnsi="ＭＳ 明朝" w:cs="Adobe Song Std L" w:hint="eastAsia"/>
                <w:color w:val="000000" w:themeColor="text1"/>
                <w:szCs w:val="21"/>
              </w:rPr>
              <w:t>解答が掲載されており，自学自習できるよう配慮が行き届いている。</w:t>
            </w:r>
          </w:p>
        </w:tc>
      </w:tr>
      <w:tr w:rsidR="005B3198" w:rsidRPr="002C0F0A" w14:paraId="7813244F" w14:textId="4606CFD1" w:rsidTr="009049E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EEAF6" w:themeFill="accent5" w:themeFillTint="33"/>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DEEAF6" w:themeFill="accent5" w:themeFillTint="33"/>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EEAF6" w:themeFill="accent5" w:themeFillTint="33"/>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E56C53A"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AB2889" w:rsidRPr="00AB2889">
              <w:rPr>
                <w:rFonts w:ascii="ＭＳ 明朝" w:eastAsia="ＭＳ 明朝" w:hAnsi="ＭＳ 明朝" w:cs="Adobe Song Std L" w:hint="eastAsia"/>
                <w:color w:val="000000" w:themeColor="text1"/>
                <w:szCs w:val="21"/>
              </w:rPr>
              <w:t>必要事項をコンパクトにまとめ，大判（</w:t>
            </w:r>
            <w:r w:rsidR="00AB2889" w:rsidRPr="00AB2889">
              <w:rPr>
                <w:rFonts w:ascii="ＭＳ 明朝" w:eastAsia="ＭＳ 明朝" w:hAnsi="ＭＳ 明朝" w:cs="Adobe Song Std L"/>
                <w:color w:val="000000" w:themeColor="text1"/>
                <w:szCs w:val="21"/>
              </w:rPr>
              <w:t>B5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4FED" w14:textId="77777777" w:rsidR="0071645B" w:rsidRDefault="0071645B" w:rsidP="00E91010">
      <w:r>
        <w:separator/>
      </w:r>
    </w:p>
  </w:endnote>
  <w:endnote w:type="continuationSeparator" w:id="0">
    <w:p w14:paraId="07C394AB" w14:textId="77777777" w:rsidR="0071645B" w:rsidRDefault="0071645B"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20B0300000000000000"/>
    <w:charset w:val="80"/>
    <w:family w:val="swiss"/>
    <w:notTrueType/>
    <w:pitch w:val="variable"/>
    <w:sig w:usb0="A00002FF" w:usb1="68C7FEFF" w:usb2="00000012" w:usb3="00000000" w:csb0="00020005" w:csb1="00000000"/>
  </w:font>
  <w:font w:name="Adobe Song Std L">
    <w:altName w:val="Adobe Song Std L"/>
    <w:panose1 w:val="020203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F4D7" w14:textId="77777777" w:rsidR="0071645B" w:rsidRDefault="0071645B" w:rsidP="00E91010">
      <w:r>
        <w:separator/>
      </w:r>
    </w:p>
  </w:footnote>
  <w:footnote w:type="continuationSeparator" w:id="0">
    <w:p w14:paraId="417C16D8" w14:textId="77777777" w:rsidR="0071645B" w:rsidRDefault="0071645B"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0A"/>
    <w:rsid w:val="00106A58"/>
    <w:rsid w:val="00110BE9"/>
    <w:rsid w:val="001218AD"/>
    <w:rsid w:val="0026401B"/>
    <w:rsid w:val="0029523B"/>
    <w:rsid w:val="002C0F0A"/>
    <w:rsid w:val="003D33EB"/>
    <w:rsid w:val="003E22C4"/>
    <w:rsid w:val="005B3198"/>
    <w:rsid w:val="0060105E"/>
    <w:rsid w:val="0071645B"/>
    <w:rsid w:val="007B2E68"/>
    <w:rsid w:val="009049EE"/>
    <w:rsid w:val="00A5537A"/>
    <w:rsid w:val="00AB2889"/>
    <w:rsid w:val="00C1378B"/>
    <w:rsid w:val="00D0453D"/>
    <w:rsid w:val="00D829B6"/>
    <w:rsid w:val="00DA0F64"/>
    <w:rsid w:val="00E91010"/>
    <w:rsid w:val="00F3211E"/>
    <w:rsid w:val="00FC02B1"/>
    <w:rsid w:val="00FC6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提橋 正一</dc:creator>
  <cp:keywords/>
  <dc:description/>
  <cp:lastModifiedBy>提橋 正一</cp:lastModifiedBy>
  <cp:revision>5</cp:revision>
  <dcterms:created xsi:type="dcterms:W3CDTF">2021-04-30T16:31:00Z</dcterms:created>
  <dcterms:modified xsi:type="dcterms:W3CDTF">2021-04-30T17:21:00Z</dcterms:modified>
</cp:coreProperties>
</file>