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BD292" w14:textId="56DB19EC" w:rsidR="00FC02B1" w:rsidRPr="007B2E68" w:rsidRDefault="00FC02B1" w:rsidP="00FC02B1">
      <w:pPr>
        <w:jc w:val="right"/>
        <w:rPr>
          <w:rFonts w:ascii="ＭＳ Ｐゴシック" w:eastAsia="ＭＳ Ｐゴシック" w:hAnsi="ＭＳ Ｐゴシック"/>
          <w:sz w:val="18"/>
          <w:szCs w:val="18"/>
          <w:bdr w:val="single" w:sz="4" w:space="0" w:color="auto"/>
        </w:rPr>
      </w:pPr>
      <w:r w:rsidRPr="007B2E68">
        <w:rPr>
          <w:rFonts w:ascii="ＭＳ Ｐゴシック" w:eastAsia="ＭＳ Ｐゴシック" w:hAnsi="ＭＳ Ｐゴシック" w:hint="eastAsia"/>
          <w:sz w:val="18"/>
          <w:szCs w:val="18"/>
          <w:bdr w:val="single" w:sz="4" w:space="0" w:color="auto"/>
        </w:rPr>
        <w:t>令和</w:t>
      </w:r>
      <w:r w:rsidR="00DD44BB">
        <w:rPr>
          <w:rFonts w:ascii="ＭＳ Ｐゴシック" w:eastAsia="ＭＳ Ｐゴシック" w:hAnsi="ＭＳ Ｐゴシック"/>
          <w:sz w:val="18"/>
          <w:szCs w:val="18"/>
          <w:bdr w:val="single" w:sz="4" w:space="0" w:color="auto"/>
        </w:rPr>
        <w:t>5</w:t>
      </w:r>
      <w:r w:rsidRPr="007B2E68">
        <w:rPr>
          <w:rFonts w:ascii="ＭＳ Ｐゴシック" w:eastAsia="ＭＳ Ｐゴシック" w:hAnsi="ＭＳ Ｐゴシック" w:hint="eastAsia"/>
          <w:sz w:val="18"/>
          <w:szCs w:val="18"/>
          <w:bdr w:val="single" w:sz="4" w:space="0" w:color="auto"/>
        </w:rPr>
        <w:t>年度用内容解説資料</w:t>
      </w:r>
    </w:p>
    <w:p w14:paraId="73D68E5E" w14:textId="6C672BE5" w:rsidR="002C0F0A" w:rsidRPr="003D33EB" w:rsidRDefault="00DA0F64" w:rsidP="003D33EB">
      <w:pPr>
        <w:adjustRightInd w:val="0"/>
        <w:snapToGrid w:val="0"/>
        <w:rPr>
          <w:rFonts w:ascii="ＭＳ Ｐゴシック" w:eastAsia="ＭＳ Ｐゴシック" w:hAnsi="ＭＳ Ｐゴシック"/>
          <w:sz w:val="28"/>
          <w:szCs w:val="28"/>
        </w:rPr>
      </w:pPr>
      <w:r w:rsidRPr="003D33EB">
        <w:rPr>
          <w:rFonts w:ascii="ＭＳ Ｐゴシック" w:eastAsia="ＭＳ Ｐゴシック" w:hAnsi="ＭＳ Ｐゴシック" w:hint="eastAsia"/>
          <w:sz w:val="28"/>
          <w:szCs w:val="28"/>
        </w:rPr>
        <w:t>◆</w:t>
      </w:r>
      <w:r w:rsidR="002C0F0A" w:rsidRPr="003D33EB">
        <w:rPr>
          <w:rFonts w:ascii="ＭＳ Ｐゴシック" w:eastAsia="ＭＳ Ｐゴシック" w:hAnsi="ＭＳ Ｐゴシック" w:hint="eastAsia"/>
          <w:sz w:val="28"/>
          <w:szCs w:val="28"/>
        </w:rPr>
        <w:t>ご検討の観点と内容の特色</w:t>
      </w:r>
      <w:r w:rsidRPr="003D33EB">
        <w:rPr>
          <w:rFonts w:ascii="ＭＳ Ｐゴシック" w:eastAsia="ＭＳ Ｐゴシック" w:hAnsi="ＭＳ Ｐゴシック" w:hint="eastAsia"/>
          <w:sz w:val="28"/>
          <w:szCs w:val="28"/>
        </w:rPr>
        <w:t>◆</w:t>
      </w:r>
    </w:p>
    <w:p w14:paraId="3E5F1A36" w14:textId="4D0E4B7A" w:rsidR="002C0F0A" w:rsidRPr="007B2E68" w:rsidRDefault="002C0F0A" w:rsidP="002C0F0A">
      <w:pPr>
        <w:jc w:val="right"/>
        <w:rPr>
          <w:rFonts w:ascii="ＭＳ Ｐゴシック" w:eastAsia="ＭＳ Ｐゴシック" w:hAnsi="ＭＳ Ｐゴシック"/>
          <w:sz w:val="20"/>
          <w:szCs w:val="20"/>
        </w:rPr>
      </w:pPr>
      <w:r w:rsidRPr="007B2E68">
        <w:rPr>
          <w:rFonts w:ascii="ＭＳ Ｐゴシック" w:eastAsia="ＭＳ Ｐゴシック" w:hAnsi="ＭＳ Ｐゴシック" w:hint="eastAsia"/>
          <w:sz w:val="20"/>
          <w:szCs w:val="20"/>
        </w:rPr>
        <w:t>数学</w:t>
      </w:r>
      <w:r w:rsidR="00DD44BB">
        <w:rPr>
          <w:rFonts w:ascii="ＭＳ Ｐゴシック" w:eastAsia="ＭＳ Ｐゴシック" w:hAnsi="ＭＳ Ｐゴシック" w:hint="eastAsia"/>
          <w:sz w:val="20"/>
          <w:szCs w:val="20"/>
        </w:rPr>
        <w:t>A</w:t>
      </w:r>
      <w:r w:rsidR="007B2E68" w:rsidRPr="007B2E68">
        <w:rPr>
          <w:rFonts w:ascii="ＭＳ Ｐゴシック" w:eastAsia="ＭＳ Ｐゴシック" w:hAnsi="ＭＳ Ｐゴシック" w:hint="eastAsia"/>
          <w:sz w:val="20"/>
          <w:szCs w:val="20"/>
        </w:rPr>
        <w:t xml:space="preserve"> </w:t>
      </w:r>
      <w:r w:rsidR="006C7DB4">
        <w:rPr>
          <w:rFonts w:ascii="ＭＳ Ｐゴシック" w:eastAsia="ＭＳ Ｐゴシック" w:hAnsi="ＭＳ Ｐゴシック"/>
          <w:sz w:val="20"/>
          <w:szCs w:val="20"/>
        </w:rPr>
        <w:t>Essence</w:t>
      </w:r>
      <w:r w:rsidR="007B2E68" w:rsidRPr="007B2E68">
        <w:rPr>
          <w:rFonts w:ascii="ＭＳ Ｐゴシック" w:eastAsia="ＭＳ Ｐゴシック" w:hAnsi="ＭＳ Ｐゴシック" w:hint="eastAsia"/>
          <w:sz w:val="20"/>
          <w:szCs w:val="20"/>
        </w:rPr>
        <w:t>/</w:t>
      </w:r>
      <w:r w:rsidRPr="007B2E68">
        <w:rPr>
          <w:rFonts w:ascii="ＭＳ Ｐゴシック" w:eastAsia="ＭＳ Ｐゴシック" w:hAnsi="ＭＳ Ｐゴシック"/>
          <w:sz w:val="20"/>
          <w:szCs w:val="20"/>
        </w:rPr>
        <w:t>2東書・数</w:t>
      </w:r>
      <w:r w:rsidR="00DD44BB">
        <w:rPr>
          <w:rFonts w:ascii="ＭＳ Ｐゴシック" w:eastAsia="ＭＳ Ｐゴシック" w:hAnsi="ＭＳ Ｐゴシック" w:hint="eastAsia"/>
          <w:sz w:val="20"/>
          <w:szCs w:val="20"/>
        </w:rPr>
        <w:t>A</w:t>
      </w:r>
      <w:r w:rsidR="00106A58">
        <w:rPr>
          <w:rFonts w:ascii="ＭＳ Ｐゴシック" w:eastAsia="ＭＳ Ｐゴシック" w:hAnsi="ＭＳ Ｐゴシック"/>
          <w:sz w:val="20"/>
          <w:szCs w:val="20"/>
        </w:rPr>
        <w:t>70</w:t>
      </w:r>
      <w:r w:rsidR="00DD44BB">
        <w:rPr>
          <w:rFonts w:ascii="ＭＳ Ｐゴシック" w:eastAsia="ＭＳ Ｐゴシック" w:hAnsi="ＭＳ Ｐゴシック"/>
          <w:sz w:val="20"/>
          <w:szCs w:val="20"/>
        </w:rPr>
        <w:t>3</w:t>
      </w:r>
    </w:p>
    <w:p w14:paraId="7A342EBB" w14:textId="77777777" w:rsidR="003D33EB" w:rsidRPr="002C0F0A" w:rsidRDefault="003D33EB" w:rsidP="002C0F0A">
      <w:pPr>
        <w:jc w:val="right"/>
        <w:rPr>
          <w:rFonts w:ascii="ＭＳ Ｐゴシック" w:eastAsia="ＭＳ Ｐゴシック" w:hAnsi="ＭＳ Ｐゴシック"/>
          <w:szCs w:val="21"/>
        </w:rPr>
      </w:pPr>
    </w:p>
    <w:tbl>
      <w:tblPr>
        <w:tblW w:w="10770" w:type="dxa"/>
        <w:tblLayout w:type="fixed"/>
        <w:tblCellMar>
          <w:top w:w="57" w:type="dxa"/>
          <w:left w:w="57" w:type="dxa"/>
          <w:bottom w:w="57" w:type="dxa"/>
          <w:right w:w="57" w:type="dxa"/>
        </w:tblCellMar>
        <w:tblLook w:val="01E0" w:firstRow="1" w:lastRow="1" w:firstColumn="1" w:lastColumn="1" w:noHBand="0" w:noVBand="0"/>
      </w:tblPr>
      <w:tblGrid>
        <w:gridCol w:w="567"/>
        <w:gridCol w:w="3116"/>
        <w:gridCol w:w="7087"/>
      </w:tblGrid>
      <w:tr w:rsidR="003D33EB" w:rsidRPr="002C0F0A" w14:paraId="6F08A846" w14:textId="07910375" w:rsidTr="00592A8E">
        <w:trPr>
          <w:cantSplit/>
          <w:tblHeader/>
        </w:trPr>
        <w:tc>
          <w:tcPr>
            <w:tcW w:w="567" w:type="dxa"/>
            <w:tcBorders>
              <w:top w:val="single" w:sz="2" w:space="0" w:color="58595B"/>
              <w:left w:val="single" w:sz="2" w:space="0" w:color="58595B"/>
              <w:bottom w:val="single" w:sz="2" w:space="0" w:color="6D6E71"/>
              <w:right w:val="single" w:sz="2" w:space="0" w:color="58595B"/>
            </w:tcBorders>
            <w:shd w:val="clear" w:color="auto" w:fill="27467D"/>
          </w:tcPr>
          <w:p w14:paraId="5B8849CD" w14:textId="1B8F2681" w:rsidR="003D33EB" w:rsidRPr="002C0F0A" w:rsidRDefault="003D33EB" w:rsidP="002C0F0A">
            <w:pPr>
              <w:adjustRightInd w:val="0"/>
              <w:ind w:leftChars="-50" w:left="-105" w:rightChars="-50" w:right="-105"/>
              <w:jc w:val="center"/>
              <w:rPr>
                <w:rFonts w:ascii="ＭＳ ゴシック" w:eastAsia="ＭＳ ゴシック" w:hAnsi="ＭＳ ゴシック" w:cs="A-OTF ゴシックMB101 Pro L"/>
                <w:szCs w:val="21"/>
              </w:rPr>
            </w:pPr>
            <w:r w:rsidRPr="002C0F0A">
              <w:rPr>
                <w:rFonts w:ascii="ＭＳ ゴシック" w:eastAsia="ＭＳ ゴシック" w:hAnsi="ＭＳ ゴシック" w:cs="A-OTF ゴシックMB101 Pro L"/>
                <w:color w:val="FFFFFF"/>
                <w:position w:val="-2"/>
                <w:szCs w:val="21"/>
              </w:rPr>
              <w:t>項</w:t>
            </w:r>
            <w:r w:rsidRPr="002C0F0A">
              <w:rPr>
                <w:rFonts w:ascii="ＭＳ ゴシック" w:eastAsia="ＭＳ ゴシック" w:hAnsi="ＭＳ ゴシック" w:cs="A-OTF ゴシックMB101 Pro L"/>
                <w:color w:val="FFFFFF"/>
                <w:w w:val="103"/>
                <w:position w:val="-2"/>
                <w:szCs w:val="21"/>
              </w:rPr>
              <w:t>目</w:t>
            </w:r>
          </w:p>
        </w:tc>
        <w:tc>
          <w:tcPr>
            <w:tcW w:w="3116" w:type="dxa"/>
            <w:tcBorders>
              <w:top w:val="single" w:sz="2" w:space="0" w:color="58595B"/>
              <w:left w:val="single" w:sz="2" w:space="0" w:color="58595B"/>
              <w:bottom w:val="single" w:sz="2" w:space="0" w:color="6D6E71"/>
              <w:right w:val="single" w:sz="2" w:space="0" w:color="58595B"/>
            </w:tcBorders>
            <w:shd w:val="clear" w:color="auto" w:fill="27467D"/>
          </w:tcPr>
          <w:p w14:paraId="16843044" w14:textId="5DC4D0B8"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w w:val="103"/>
                <w:szCs w:val="21"/>
              </w:rPr>
              <w:t>観点</w:t>
            </w:r>
          </w:p>
        </w:tc>
        <w:tc>
          <w:tcPr>
            <w:tcW w:w="7087" w:type="dxa"/>
            <w:tcBorders>
              <w:top w:val="single" w:sz="2" w:space="0" w:color="58595B"/>
              <w:left w:val="single" w:sz="2" w:space="0" w:color="58595B"/>
              <w:bottom w:val="single" w:sz="2" w:space="0" w:color="6D6E71"/>
              <w:right w:val="single" w:sz="2" w:space="0" w:color="58595B"/>
            </w:tcBorders>
            <w:shd w:val="clear" w:color="auto" w:fill="27467D"/>
          </w:tcPr>
          <w:p w14:paraId="683C5EAB" w14:textId="628802FA"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spacing w:val="16"/>
                <w:w w:val="103"/>
                <w:szCs w:val="21"/>
              </w:rPr>
              <w:t>内容の特</w:t>
            </w:r>
            <w:r w:rsidRPr="002C0F0A">
              <w:rPr>
                <w:rFonts w:ascii="ＭＳ ゴシック" w:eastAsia="ＭＳ ゴシック" w:hAnsi="ＭＳ ゴシック" w:cs="Adobe Song Std L"/>
                <w:color w:val="FFFFFF"/>
                <w:w w:val="103"/>
                <w:szCs w:val="21"/>
              </w:rPr>
              <w:t>色</w:t>
            </w:r>
          </w:p>
        </w:tc>
      </w:tr>
      <w:tr w:rsidR="00263AA0" w:rsidRPr="002C0F0A" w14:paraId="2EE08739" w14:textId="31805C25" w:rsidTr="003D33EB">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58C4ACF6" w14:textId="77777777" w:rsidR="00263AA0" w:rsidRPr="002C0F0A" w:rsidRDefault="00263AA0" w:rsidP="00263AA0">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内容の選択・程度</w:t>
            </w:r>
          </w:p>
        </w:tc>
        <w:tc>
          <w:tcPr>
            <w:tcW w:w="3116" w:type="dxa"/>
            <w:tcBorders>
              <w:top w:val="single" w:sz="2" w:space="0" w:color="6D6E71"/>
              <w:left w:val="single" w:sz="2" w:space="0" w:color="6D6E71"/>
              <w:bottom w:val="single" w:sz="2" w:space="0" w:color="6D6E71"/>
              <w:right w:val="single" w:sz="2" w:space="0" w:color="6D6E71"/>
            </w:tcBorders>
          </w:tcPr>
          <w:p w14:paraId="0C2C31C9" w14:textId="38D2E418"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＊学習指導要領の教科の目標を達成するため必要な教材が適切に用意されているか。</w:t>
            </w:r>
          </w:p>
          <w:p w14:paraId="167EAC63" w14:textId="0D85340E"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＊基礎的・基本的事項の理解や習得のため適切な配慮がなされているか。</w:t>
            </w:r>
          </w:p>
          <w:p w14:paraId="14A80691" w14:textId="4A2AAD90"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＊発展的な学習内容の取り扱いに対する適切な配慮がなされているか。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16DFBD48" w14:textId="612C5BA1"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基礎的・基本的な事項を過不足なく取り上げ，例・例題を参考にすれば問題が解ける，問題を解くことによって数学的な思考力・表現力が育成されるなど，学習者の意欲を喚起するように編集が工夫されている。</w:t>
            </w:r>
          </w:p>
          <w:p w14:paraId="206D2091" w14:textId="694CB7A5"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●各項の冒頭に「ねらい」，例の前には何のための問題なのかを明記する一文を設け，目的意識をもって学習に取り組めるように配慮されている。</w:t>
            </w:r>
          </w:p>
          <w:p w14:paraId="15871100" w14:textId="67F0BE2F"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●各ページ右段に，その問題を解くために必要な公式，知識，注意すべき内容を取り上げた「側注」を設け，基礎的・基本的な知識や技能が確実に定着するように工夫されている。</w:t>
            </w:r>
          </w:p>
          <w:p w14:paraId="79A3FAEC" w14:textId="0FBEF166"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例・例題で扱っている内容は基本的なものであり，基礎・基本の徹底が図られている。また，節末ごとに定着確認のための問題を設けている。さらに，本文の問の側注部分に節末問題へのリンクマークが付され，追加問題が扱いやすくなるように工夫されている。</w:t>
            </w:r>
          </w:p>
          <w:p w14:paraId="22DE2C58" w14:textId="10295818"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●活動的に取り組む問題をActとして設け，新規内容を理解する場面や，学習した知識・技能を利用する場面に，生徒が能動的に思考・判断・表現する場を設けている。</w:t>
            </w:r>
          </w:p>
          <w:p w14:paraId="3826F021" w14:textId="18CC2567"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●「場合の数と確率」では，図を多用するなど，理解を助ける配慮がされている。（p.17，20-24，29-30</w:t>
            </w:r>
            <w:r>
              <w:rPr>
                <w:rFonts w:ascii="ＭＳ 明朝" w:eastAsia="ＭＳ 明朝" w:hAnsi="ＭＳ 明朝" w:cs="Adobe Song Std L" w:hint="eastAsia"/>
                <w:color w:val="000000" w:themeColor="text1"/>
                <w:szCs w:val="21"/>
              </w:rPr>
              <w:t>，</w:t>
            </w:r>
            <w:r w:rsidRPr="00263AA0">
              <w:rPr>
                <w:rFonts w:ascii="ＭＳ 明朝" w:eastAsia="ＭＳ 明朝" w:hAnsi="ＭＳ 明朝" w:cs="Adobe Song Std L"/>
                <w:color w:val="000000" w:themeColor="text1"/>
                <w:szCs w:val="21"/>
              </w:rPr>
              <w:t>32-37，40-41）</w:t>
            </w:r>
          </w:p>
          <w:p w14:paraId="48D6E20D" w14:textId="6AC3AF3E"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●「図形の性質」では，具体物を扱うことで，理解を助ける配慮がされている。（p.58-59，65，87-88）</w:t>
            </w:r>
          </w:p>
          <w:p w14:paraId="25E720C2" w14:textId="1A5207D5" w:rsidR="00263AA0" w:rsidRPr="00263AA0" w:rsidRDefault="00263AA0" w:rsidP="00B45D3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●「数学と人間の活動」は，巻末に綴じられた厚紙を使った作業を通して理解できるように工夫されている</w:t>
            </w:r>
            <w:r w:rsidR="00B45D30" w:rsidRPr="00263AA0">
              <w:rPr>
                <w:rFonts w:ascii="ＭＳ 明朝" w:eastAsia="ＭＳ 明朝" w:hAnsi="ＭＳ 明朝" w:cs="Adobe Song Std L"/>
                <w:color w:val="000000" w:themeColor="text1"/>
                <w:szCs w:val="21"/>
              </w:rPr>
              <w:t>。</w:t>
            </w:r>
            <w:r w:rsidRPr="00263AA0">
              <w:rPr>
                <w:rFonts w:ascii="ＭＳ 明朝" w:eastAsia="ＭＳ 明朝" w:hAnsi="ＭＳ 明朝" w:cs="Adobe Song Std L"/>
                <w:color w:val="000000" w:themeColor="text1"/>
                <w:szCs w:val="21"/>
              </w:rPr>
              <w:t>（p.119-120，137，139）</w:t>
            </w:r>
          </w:p>
        </w:tc>
      </w:tr>
      <w:tr w:rsidR="00263AA0" w:rsidRPr="002C0F0A" w14:paraId="02D08B93" w14:textId="72477F84" w:rsidTr="00592A8E">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BFCFEB"/>
            <w:textDirection w:val="tbRlV"/>
            <w:vAlign w:val="center"/>
          </w:tcPr>
          <w:p w14:paraId="667564E8" w14:textId="77777777" w:rsidR="00263AA0" w:rsidRPr="002C0F0A" w:rsidRDefault="00263AA0" w:rsidP="00263AA0">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組織・配列・分量</w:t>
            </w:r>
          </w:p>
        </w:tc>
        <w:tc>
          <w:tcPr>
            <w:tcW w:w="3116" w:type="dxa"/>
            <w:tcBorders>
              <w:top w:val="single" w:sz="2" w:space="0" w:color="6D6E71"/>
              <w:left w:val="single" w:sz="2" w:space="0" w:color="6D6E71"/>
              <w:bottom w:val="single" w:sz="2" w:space="0" w:color="6D6E71"/>
              <w:right w:val="single" w:sz="2" w:space="0" w:color="6D6E71"/>
            </w:tcBorders>
            <w:shd w:val="clear" w:color="auto" w:fill="BFCFEB"/>
          </w:tcPr>
          <w:p w14:paraId="40ACF378" w14:textId="43C23156"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＊内容の組織・配列は，学習指導を有効に進められるように考慮されているか。</w:t>
            </w:r>
          </w:p>
          <w:p w14:paraId="46051E9B" w14:textId="0BEB8B49"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＊分量は学習指導を有効に進められるように考慮され，精選されているか。</w:t>
            </w:r>
          </w:p>
          <w:p w14:paraId="4D73FC3F" w14:textId="664B173B"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＊中高の接続に対する配慮がなされているか。</w:t>
            </w:r>
          </w:p>
          <w:p w14:paraId="75A0D1DA" w14:textId="69C7169C"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＊弾力的な取り扱いに対する配慮がなされているか。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BFCFEB"/>
          </w:tcPr>
          <w:p w14:paraId="50474A58" w14:textId="71CE881E"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●学習指導要領に示された「内容」と「内容の取扱い」に準拠していて，生徒の実態に即した必要かつ十分な内容が適切に組織・配列されている。</w:t>
            </w:r>
          </w:p>
          <w:p w14:paraId="59FBFB18" w14:textId="48B6F7F0"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●章のはじめに，既習事項を確認し，必要に応じて復習できるコーナーがあり，生徒がつまずくことなく章の学習に入ることができるよう工夫されている。</w:t>
            </w:r>
            <w:bookmarkStart w:id="0" w:name="_GoBack"/>
            <w:bookmarkEnd w:id="0"/>
          </w:p>
          <w:p w14:paraId="32DC9B7D" w14:textId="2AB149F7"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●例・例題の直後の問は，例・例題と同じタイプで数値が変わった程度の問題とし，節末問題も，対応する問の類題とすることで，生徒が問題演習に取り組みやすくなるよう，配慮がされている。</w:t>
            </w:r>
          </w:p>
          <w:p w14:paraId="5445E718" w14:textId="54FA0114"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●やや高度な内容は「Challenge」とし，生徒や学校の実態に応じて臨機応変な取り扱いができるよう編集されている（p.30，47，69，92，102，105）。</w:t>
            </w:r>
          </w:p>
          <w:p w14:paraId="63FD2DBD" w14:textId="160844A5" w:rsidR="00263AA0" w:rsidRPr="00263AA0" w:rsidRDefault="00263AA0" w:rsidP="00DD44BB">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●巻末には，学習内容に関連する中学校での学習内容がコンパクトにまとめられている。</w:t>
            </w:r>
          </w:p>
        </w:tc>
      </w:tr>
      <w:tr w:rsidR="00263AA0" w:rsidRPr="002C0F0A" w14:paraId="0190FB83" w14:textId="134720AF" w:rsidTr="003D33EB">
        <w:trPr>
          <w:cantSplit/>
        </w:trPr>
        <w:tc>
          <w:tcPr>
            <w:tcW w:w="567" w:type="dxa"/>
            <w:tcBorders>
              <w:top w:val="single" w:sz="2" w:space="0" w:color="6D6E71"/>
              <w:left w:val="single" w:sz="2" w:space="0" w:color="6D6E71"/>
              <w:bottom w:val="single" w:sz="2" w:space="0" w:color="6D6E71"/>
              <w:right w:val="single" w:sz="2" w:space="0" w:color="6D6E71"/>
            </w:tcBorders>
            <w:tcMar>
              <w:left w:w="0" w:type="dxa"/>
              <w:right w:w="0" w:type="dxa"/>
            </w:tcMar>
            <w:textDirection w:val="tbRlV"/>
            <w:vAlign w:val="center"/>
          </w:tcPr>
          <w:p w14:paraId="251F7E8E" w14:textId="77777777" w:rsidR="00263AA0" w:rsidRDefault="00263AA0" w:rsidP="00A576FD">
            <w:pPr>
              <w:adjustRightInd w:val="0"/>
              <w:snapToGrid w:val="0"/>
              <w:ind w:leftChars="1000" w:left="2100"/>
              <w:jc w:val="left"/>
              <w:rPr>
                <w:rFonts w:ascii="ＭＳ Ｐゴシック" w:eastAsia="ＭＳ Ｐゴシック" w:hAnsi="ＭＳ Ｐゴシック" w:cs="Adobe Song Std L"/>
                <w:color w:val="231F20"/>
                <w:w w:val="101"/>
                <w:szCs w:val="21"/>
              </w:rPr>
            </w:pPr>
            <w:r w:rsidRPr="002C0F0A">
              <w:rPr>
                <w:rFonts w:ascii="ＭＳ Ｐゴシック" w:eastAsia="ＭＳ Ｐゴシック" w:hAnsi="ＭＳ Ｐゴシック" w:cs="Adobe Song Std L"/>
                <w:color w:val="231F20"/>
                <w:w w:val="101"/>
                <w:szCs w:val="21"/>
              </w:rPr>
              <w:lastRenderedPageBreak/>
              <w:t>表記・表現及び指導に対する</w:t>
            </w:r>
          </w:p>
          <w:p w14:paraId="158726B3" w14:textId="156D81F6" w:rsidR="00263AA0" w:rsidRPr="002C0F0A" w:rsidRDefault="00263AA0" w:rsidP="00A576FD">
            <w:pPr>
              <w:adjustRightInd w:val="0"/>
              <w:snapToGrid w:val="0"/>
              <w:ind w:leftChars="1000" w:left="2100"/>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工夫や配慮</w:t>
            </w:r>
          </w:p>
        </w:tc>
        <w:tc>
          <w:tcPr>
            <w:tcW w:w="3116" w:type="dxa"/>
            <w:tcBorders>
              <w:top w:val="single" w:sz="2" w:space="0" w:color="6D6E71"/>
              <w:left w:val="single" w:sz="2" w:space="0" w:color="6D6E71"/>
              <w:bottom w:val="single" w:sz="2" w:space="0" w:color="6D6E71"/>
              <w:right w:val="single" w:sz="2" w:space="0" w:color="6D6E71"/>
            </w:tcBorders>
          </w:tcPr>
          <w:p w14:paraId="7CE45F84" w14:textId="46FE6C8C"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＊学習意欲を高めるための配慮がなされているか。</w:t>
            </w:r>
          </w:p>
          <w:p w14:paraId="60314E87" w14:textId="29971C77"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＊用語・記号の取り上げ方や記述のしかたは適切か。</w:t>
            </w:r>
          </w:p>
          <w:p w14:paraId="5E9E6962" w14:textId="252BC066"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＊生徒の自学自習への配慮や工夫がなされているか。</w:t>
            </w:r>
          </w:p>
          <w:p w14:paraId="7E3DB45B" w14:textId="1A80C141"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＊指導書や周辺教材での工夫や配慮がなされているか。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33F0988E" w14:textId="368B075B"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●全編を通して本文の理解を助けるように，図，イラスト，写真が多用されている。</w:t>
            </w:r>
          </w:p>
          <w:p w14:paraId="30195EF9" w14:textId="0EA60E32"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●色を適切に使い，視覚的に内容理解をサポートするように配慮されている。</w:t>
            </w:r>
          </w:p>
          <w:p w14:paraId="585D32B3" w14:textId="137B495E"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●用語・記号は統一されており，記述の仕方も適切である。</w:t>
            </w:r>
          </w:p>
          <w:p w14:paraId="0A6ED85E" w14:textId="0F94F678"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●ICT機器を利用すると効果的な箇所にDマークをつけ，デジタルコンテンツを用意し，生徒がインターネットを介して利用できるようにしている。</w:t>
            </w:r>
          </w:p>
          <w:p w14:paraId="596F51BC" w14:textId="34238AD1"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章扉で，章の内容に関連する物事を写真と共に紹介するなど，学習内容に関して興味・関心を高めるよう工夫されている。また，章末では，章扉と関連した章の内容に関連する話題について，その章で学んだことを活用して説明することで，学習した成果を感じられるよう工夫されている。</w:t>
            </w:r>
          </w:p>
          <w:p w14:paraId="1E9F6CFF" w14:textId="2761D7EB"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●各節末の「Training」では，問題の右横に関連する問題のページと例題番号などを明記し，解けなかったときには本文にフィードバックできるように配慮されている。</w:t>
            </w:r>
          </w:p>
          <w:p w14:paraId="652521FD" w14:textId="2A31583F"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●巻末解答には，本文中の問と節末，章末，巻末の問題に対する解答がすべて掲載されており，自学自習できるよう配慮が行き届いている。</w:t>
            </w:r>
          </w:p>
          <w:p w14:paraId="4C5204DA" w14:textId="73FFD8C3"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●教科書を支援する指導書や周辺教材などが充実しており，指導しやすい教科書である。</w:t>
            </w:r>
          </w:p>
        </w:tc>
      </w:tr>
      <w:tr w:rsidR="00263AA0" w:rsidRPr="002C0F0A" w14:paraId="7813244F" w14:textId="4606CFD1" w:rsidTr="00592A8E">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BFCFEB"/>
            <w:textDirection w:val="tbRlV"/>
            <w:vAlign w:val="center"/>
          </w:tcPr>
          <w:p w14:paraId="320D7BAD" w14:textId="775F5E0C" w:rsidR="00263AA0" w:rsidRPr="002C0F0A" w:rsidRDefault="00263AA0" w:rsidP="00263AA0">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印刷・造本上の</w:t>
            </w:r>
            <w:r>
              <w:rPr>
                <w:rFonts w:ascii="ＭＳ Ｐゴシック" w:eastAsia="ＭＳ Ｐゴシック" w:hAnsi="ＭＳ Ｐゴシック" w:cs="Adobe Song Std L" w:hint="eastAsia"/>
                <w:color w:val="231F20"/>
                <w:w w:val="101"/>
                <w:szCs w:val="21"/>
              </w:rPr>
              <w:t>配慮</w:t>
            </w:r>
          </w:p>
        </w:tc>
        <w:tc>
          <w:tcPr>
            <w:tcW w:w="3116" w:type="dxa"/>
            <w:tcBorders>
              <w:top w:val="single" w:sz="2" w:space="0" w:color="6D6E71"/>
              <w:left w:val="single" w:sz="2" w:space="0" w:color="6D6E71"/>
              <w:bottom w:val="single" w:sz="2" w:space="0" w:color="6D6E71"/>
              <w:right w:val="single" w:sz="2" w:space="0" w:color="6D6E71"/>
            </w:tcBorders>
            <w:shd w:val="clear" w:color="auto" w:fill="BFCFEB"/>
          </w:tcPr>
          <w:p w14:paraId="4A4E6055" w14:textId="6E98D604"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＊印刷の鮮明さ，活字の大きさ，行間，製本などは適切か。</w:t>
            </w:r>
          </w:p>
          <w:p w14:paraId="3BD282F8" w14:textId="78575242"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＊環境保全や生徒の多様な特性に配慮がなされているか。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BFCFEB"/>
          </w:tcPr>
          <w:p w14:paraId="662F6703" w14:textId="6F51C63E"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●B5変形判で，大判（B5判）教科書のような見やすさや分かりやすさと，持ちやすいなど使い勝手のよさの両立がはかられている。</w:t>
            </w:r>
          </w:p>
          <w:p w14:paraId="438FD227" w14:textId="2F2F1F1A"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●活字は鮮明で読みやすく，写真，イラストなども鮮明で効果的である。</w:t>
            </w:r>
          </w:p>
          <w:p w14:paraId="7F7E09DD" w14:textId="3DC8F58C"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●製本は堅牢で，開きやすい様式である。</w:t>
            </w:r>
          </w:p>
          <w:p w14:paraId="214D727A" w14:textId="32610C8F"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●図やグラフの色使いなど，色覚特性への配慮を含むユニバーサルデザインとなっており，全ページにわたって配色を工夫するなど，誰もが見やすい紙面になっている。</w:t>
            </w:r>
          </w:p>
          <w:p w14:paraId="154AF7DA" w14:textId="2674F71E"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●本文の用紙には再生紙と植物油インキを使用し，印刷業界団体が定めた環境配慮基準を満たす「グリーンプリンティング認定工場」で印刷するなど，地球環境や資源に及ぼす影響に考慮されている。</w:t>
            </w:r>
          </w:p>
        </w:tc>
      </w:tr>
      <w:tr w:rsidR="00263AA0" w:rsidRPr="002C0F0A" w14:paraId="558625F4" w14:textId="7A170A24" w:rsidTr="003D33EB">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652A6D65" w14:textId="77777777" w:rsidR="00263AA0" w:rsidRPr="002C0F0A" w:rsidRDefault="00263AA0" w:rsidP="00263AA0">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総合所見</w:t>
            </w:r>
          </w:p>
        </w:tc>
        <w:tc>
          <w:tcPr>
            <w:tcW w:w="3116" w:type="dxa"/>
            <w:tcBorders>
              <w:top w:val="single" w:sz="2" w:space="0" w:color="6D6E71"/>
              <w:left w:val="single" w:sz="2" w:space="0" w:color="6D6E71"/>
              <w:bottom w:val="single" w:sz="2" w:space="0" w:color="6D6E71"/>
              <w:right w:val="single" w:sz="2" w:space="0" w:color="6D6E71"/>
            </w:tcBorders>
          </w:tcPr>
          <w:p w14:paraId="27B398C1" w14:textId="53F79196"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＊上記観点から見た，全体的・総合的な当教科書の特徴</w:t>
            </w:r>
          </w:p>
        </w:tc>
        <w:tc>
          <w:tcPr>
            <w:tcW w:w="7087" w:type="dxa"/>
            <w:tcBorders>
              <w:top w:val="single" w:sz="2" w:space="0" w:color="6D6E71"/>
              <w:left w:val="single" w:sz="2" w:space="0" w:color="6D6E71"/>
              <w:bottom w:val="single" w:sz="2" w:space="0" w:color="6D6E71"/>
              <w:right w:val="single" w:sz="2" w:space="0" w:color="6D6E71"/>
            </w:tcBorders>
          </w:tcPr>
          <w:p w14:paraId="2FF7EE85" w14:textId="581332B4"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w:t>
            </w:r>
            <w:r w:rsidRPr="00C3154A">
              <w:rPr>
                <w:rFonts w:ascii="ＭＳ 明朝" w:eastAsia="ＭＳ 明朝" w:hAnsi="ＭＳ 明朝" w:cs="Adobe Song Std L"/>
                <w:szCs w:val="21"/>
              </w:rPr>
              <w:t>必要事項をコンパクトにまとめ，変形判のメリットを効果的に活用した紙面構成，例・例題を参考にすれば問題が解けるようにした構成上の工夫など，全体を通して問題が解けることで数学の楽しさが体感できるように編集された教科書である。</w:t>
            </w:r>
          </w:p>
        </w:tc>
      </w:tr>
    </w:tbl>
    <w:p w14:paraId="04BFC992" w14:textId="0AFA1106" w:rsidR="00D0453D" w:rsidRPr="003D33EB" w:rsidRDefault="003D33EB" w:rsidP="003D33EB">
      <w:pPr>
        <w:jc w:val="right"/>
        <w:rPr>
          <w:rFonts w:ascii="ＭＳ 明朝" w:eastAsia="ＭＳ 明朝" w:hAnsi="ＭＳ 明朝"/>
          <w:sz w:val="18"/>
          <w:szCs w:val="18"/>
        </w:rPr>
      </w:pPr>
      <w:r w:rsidRPr="003D33EB">
        <w:rPr>
          <w:rFonts w:ascii="ＭＳ 明朝" w:eastAsia="ＭＳ 明朝" w:hAnsi="ＭＳ 明朝" w:hint="eastAsia"/>
          <w:sz w:val="18"/>
          <w:szCs w:val="18"/>
        </w:rPr>
        <w:t>この資料は，一般社団法人教科書協会「教科書発行者行動規範」に</w:t>
      </w:r>
      <w:r w:rsidRPr="003D33EB">
        <w:rPr>
          <w:rFonts w:ascii="ＭＳ 明朝" w:eastAsia="ＭＳ 明朝" w:hAnsi="ＭＳ 明朝"/>
          <w:sz w:val="18"/>
          <w:szCs w:val="18"/>
        </w:rPr>
        <w:t>則っております。</w:t>
      </w:r>
    </w:p>
    <w:sectPr w:rsidR="00D0453D" w:rsidRPr="003D33EB" w:rsidSect="002C0F0A">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3E90B" w14:textId="77777777" w:rsidR="00EC4269" w:rsidRDefault="00EC4269" w:rsidP="00263AA0">
      <w:r>
        <w:separator/>
      </w:r>
    </w:p>
  </w:endnote>
  <w:endnote w:type="continuationSeparator" w:id="0">
    <w:p w14:paraId="114B6A6E" w14:textId="77777777" w:rsidR="00EC4269" w:rsidRDefault="00EC4269" w:rsidP="00263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OTF ゴシックMB101 Pro L">
    <w:altName w:val="A-OTF ゴシックMB101 Pro L"/>
    <w:panose1 w:val="00000000000000000000"/>
    <w:charset w:val="80"/>
    <w:family w:val="swiss"/>
    <w:notTrueType/>
    <w:pitch w:val="variable"/>
    <w:sig w:usb0="A00002FF" w:usb1="68C7FEFF" w:usb2="00000012" w:usb3="00000000" w:csb0="00020005" w:csb1="00000000"/>
  </w:font>
  <w:font w:name="Adobe Song Std L">
    <w:altName w:val="Adobe Song Std L"/>
    <w:panose1 w:val="00000000000000000000"/>
    <w:charset w:val="80"/>
    <w:family w:val="roman"/>
    <w:notTrueType/>
    <w:pitch w:val="variable"/>
    <w:sig w:usb0="00000207" w:usb1="0A0F1810" w:usb2="00000016" w:usb3="00000000" w:csb0="00060007"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3B0EF" w14:textId="77777777" w:rsidR="00EC4269" w:rsidRDefault="00EC4269" w:rsidP="00263AA0">
      <w:r>
        <w:separator/>
      </w:r>
    </w:p>
  </w:footnote>
  <w:footnote w:type="continuationSeparator" w:id="0">
    <w:p w14:paraId="6064A004" w14:textId="77777777" w:rsidR="00EC4269" w:rsidRDefault="00EC4269" w:rsidP="00263A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F0A"/>
    <w:rsid w:val="00106A58"/>
    <w:rsid w:val="00263AA0"/>
    <w:rsid w:val="002C0F0A"/>
    <w:rsid w:val="003D33EB"/>
    <w:rsid w:val="00592A8E"/>
    <w:rsid w:val="005B3198"/>
    <w:rsid w:val="006C20C0"/>
    <w:rsid w:val="006C7DB4"/>
    <w:rsid w:val="007B2E68"/>
    <w:rsid w:val="008A6456"/>
    <w:rsid w:val="00A576FD"/>
    <w:rsid w:val="00B45D30"/>
    <w:rsid w:val="00C1378B"/>
    <w:rsid w:val="00C3154A"/>
    <w:rsid w:val="00D0453D"/>
    <w:rsid w:val="00DA0F64"/>
    <w:rsid w:val="00DD44BB"/>
    <w:rsid w:val="00E17E31"/>
    <w:rsid w:val="00EC4269"/>
    <w:rsid w:val="00F177F9"/>
    <w:rsid w:val="00FC0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4ED260"/>
  <w15:chartTrackingRefBased/>
  <w15:docId w15:val="{57BAE198-2C58-49CD-B866-2EF0ADA2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3AA0"/>
    <w:pPr>
      <w:tabs>
        <w:tab w:val="center" w:pos="4252"/>
        <w:tab w:val="right" w:pos="8504"/>
      </w:tabs>
      <w:snapToGrid w:val="0"/>
    </w:pPr>
  </w:style>
  <w:style w:type="character" w:customStyle="1" w:styleId="a4">
    <w:name w:val="ヘッダー (文字)"/>
    <w:basedOn w:val="a0"/>
    <w:link w:val="a3"/>
    <w:uiPriority w:val="99"/>
    <w:rsid w:val="00263AA0"/>
  </w:style>
  <w:style w:type="paragraph" w:styleId="a5">
    <w:name w:val="footer"/>
    <w:basedOn w:val="a"/>
    <w:link w:val="a6"/>
    <w:uiPriority w:val="99"/>
    <w:unhideWhenUsed/>
    <w:rsid w:val="00263AA0"/>
    <w:pPr>
      <w:tabs>
        <w:tab w:val="center" w:pos="4252"/>
        <w:tab w:val="right" w:pos="8504"/>
      </w:tabs>
      <w:snapToGrid w:val="0"/>
    </w:pPr>
  </w:style>
  <w:style w:type="character" w:customStyle="1" w:styleId="a6">
    <w:name w:val="フッター (文字)"/>
    <w:basedOn w:val="a0"/>
    <w:link w:val="a5"/>
    <w:uiPriority w:val="99"/>
    <w:rsid w:val="00263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364</Words>
  <Characters>2075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9</cp:revision>
  <dcterms:created xsi:type="dcterms:W3CDTF">2021-04-30T15:50:00Z</dcterms:created>
  <dcterms:modified xsi:type="dcterms:W3CDTF">2022-04-04T08:12:00Z</dcterms:modified>
</cp:coreProperties>
</file>