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2B5E529A"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1B2429">
        <w:rPr>
          <w:rFonts w:ascii="ＭＳ Ｐゴシック" w:eastAsia="ＭＳ Ｐゴシック" w:hAnsi="ＭＳ Ｐゴシック"/>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6BC0B5F4"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w:t>
      </w:r>
      <w:r w:rsidR="001274DE">
        <w:rPr>
          <w:rFonts w:ascii="ＭＳ Ｐゴシック" w:eastAsia="ＭＳ Ｐゴシック" w:hAnsi="ＭＳ Ｐゴシック" w:hint="eastAsia"/>
          <w:sz w:val="20"/>
          <w:szCs w:val="20"/>
        </w:rPr>
        <w:t>Ａ</w:t>
      </w:r>
      <w:r w:rsidR="007B2E68" w:rsidRPr="007B2E68">
        <w:rPr>
          <w:rFonts w:ascii="ＭＳ Ｐゴシック" w:eastAsia="ＭＳ Ｐゴシック" w:hAnsi="ＭＳ Ｐゴシック" w:hint="eastAsia"/>
          <w:sz w:val="20"/>
          <w:szCs w:val="20"/>
        </w:rPr>
        <w:t xml:space="preserve"> </w:t>
      </w:r>
      <w:r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1274DE">
        <w:rPr>
          <w:rFonts w:ascii="ＭＳ Ｐゴシック" w:eastAsia="ＭＳ Ｐゴシック" w:hAnsi="ＭＳ Ｐゴシック" w:hint="eastAsia"/>
          <w:sz w:val="20"/>
          <w:szCs w:val="20"/>
        </w:rPr>
        <w:t>Ａ</w:t>
      </w:r>
      <w:r w:rsidRPr="007B2E68">
        <w:rPr>
          <w:rFonts w:ascii="ＭＳ Ｐゴシック" w:eastAsia="ＭＳ Ｐゴシック" w:hAnsi="ＭＳ Ｐゴシック"/>
          <w:sz w:val="20"/>
          <w:szCs w:val="20"/>
        </w:rPr>
        <w:t>701</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A75738">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7D7FB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7D7FB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7D7FB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3D33EB" w:rsidRPr="002C0F0A" w14:paraId="2EE08739" w14:textId="31805C25" w:rsidTr="00A75738">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0D10AFC9" w14:textId="6622F24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●基礎的・基本的な事項がコンパクトに網羅されている。また，丁寧な記述とスモールステップな問題配列で，スムーズに授業が展開できるように工夫して編集されている。</w:t>
            </w:r>
          </w:p>
          <w:p w14:paraId="543473F5" w14:textId="1730B1E3" w:rsidR="003D33EB" w:rsidRDefault="003D33EB" w:rsidP="00775649">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1274DE">
              <w:rPr>
                <w:rFonts w:ascii="ＭＳ 明朝" w:eastAsia="ＭＳ 明朝" w:hAnsi="ＭＳ 明朝" w:cs="Adobe Song Std L" w:hint="eastAsia"/>
                <w:szCs w:val="21"/>
              </w:rPr>
              <w:t>Ａ</w:t>
            </w:r>
            <w:r w:rsidRPr="00DA0F64">
              <w:rPr>
                <w:rFonts w:ascii="ＭＳ 明朝" w:eastAsia="ＭＳ 明朝" w:hAnsi="ＭＳ 明朝" w:cs="Adobe Song Std L"/>
                <w:szCs w:val="21"/>
              </w:rPr>
              <w:t>「1章</w:t>
            </w:r>
            <w:r>
              <w:rPr>
                <w:rFonts w:ascii="ＭＳ 明朝" w:eastAsia="ＭＳ 明朝" w:hAnsi="ＭＳ 明朝" w:cs="Adobe Song Std L" w:hint="eastAsia"/>
                <w:szCs w:val="21"/>
              </w:rPr>
              <w:t xml:space="preserve">　</w:t>
            </w:r>
            <w:r w:rsidR="001274DE">
              <w:rPr>
                <w:rFonts w:ascii="ＭＳ 明朝" w:eastAsia="ＭＳ 明朝" w:hAnsi="ＭＳ 明朝" w:cs="Adobe Song Std L" w:hint="eastAsia"/>
                <w:szCs w:val="21"/>
              </w:rPr>
              <w:t>場合の数と確率</w:t>
            </w:r>
            <w:r w:rsidRPr="00DA0F64">
              <w:rPr>
                <w:rFonts w:ascii="ＭＳ 明朝" w:eastAsia="ＭＳ 明朝" w:hAnsi="ＭＳ 明朝" w:cs="Adobe Song Std L"/>
                <w:szCs w:val="21"/>
              </w:rPr>
              <w:t>」では，</w:t>
            </w:r>
            <w:r w:rsidR="001274DE" w:rsidRPr="001274DE">
              <w:rPr>
                <w:rFonts w:ascii="ＭＳ 明朝" w:eastAsia="ＭＳ 明朝" w:hAnsi="ＭＳ 明朝" w:cs="Adobe Song Std L" w:hint="eastAsia"/>
                <w:szCs w:val="21"/>
              </w:rPr>
              <w:t>先に</w:t>
            </w:r>
            <w:r w:rsidR="001274DE" w:rsidRPr="001274DE">
              <w:rPr>
                <w:rFonts w:ascii="ＭＳ 明朝" w:eastAsia="ＭＳ 明朝" w:hAnsi="ＭＳ 明朝" w:cs="Adobe Song Std L"/>
                <w:szCs w:val="21"/>
              </w:rPr>
              <w:t>3勝したときに優勝する場合の確率や，順番にくじを引くときの当たりくじを引く確率，ある検査で陽性と判定されたときに実際には病原菌がいない確率，同じ</w:t>
            </w:r>
            <w:r w:rsidR="001274DE">
              <w:rPr>
                <w:rFonts w:ascii="ＭＳ 明朝" w:eastAsia="ＭＳ 明朝" w:hAnsi="ＭＳ 明朝" w:cs="Adobe Song Std L"/>
                <w:szCs w:val="21"/>
              </w:rPr>
              <w:t>誕生日の人がいる確率など，生徒が身近に感じられる話題</w:t>
            </w:r>
            <w:r w:rsidR="001274DE">
              <w:rPr>
                <w:rFonts w:ascii="ＭＳ 明朝" w:eastAsia="ＭＳ 明朝" w:hAnsi="ＭＳ 明朝" w:cs="Adobe Song Std L" w:hint="eastAsia"/>
                <w:szCs w:val="21"/>
              </w:rPr>
              <w:t>を</w:t>
            </w:r>
            <w:r w:rsidR="001274DE">
              <w:rPr>
                <w:rFonts w:ascii="ＭＳ 明朝" w:eastAsia="ＭＳ 明朝" w:hAnsi="ＭＳ 明朝" w:cs="Adobe Song Std L"/>
                <w:szCs w:val="21"/>
              </w:rPr>
              <w:t>多く取</w:t>
            </w:r>
            <w:r w:rsidR="001274DE">
              <w:rPr>
                <w:rFonts w:ascii="ＭＳ 明朝" w:eastAsia="ＭＳ 明朝" w:hAnsi="ＭＳ 明朝" w:cs="Adobe Song Std L" w:hint="eastAsia"/>
                <w:szCs w:val="21"/>
              </w:rPr>
              <w:t>り上</w:t>
            </w:r>
            <w:r w:rsidR="001274DE" w:rsidRPr="001274DE">
              <w:rPr>
                <w:rFonts w:ascii="ＭＳ 明朝" w:eastAsia="ＭＳ 明朝" w:hAnsi="ＭＳ 明朝" w:cs="Adobe Song Std L"/>
                <w:szCs w:val="21"/>
              </w:rPr>
              <w:t>げ</w:t>
            </w:r>
            <w:r w:rsidR="001274DE">
              <w:rPr>
                <w:rFonts w:ascii="ＭＳ 明朝" w:eastAsia="ＭＳ 明朝" w:hAnsi="ＭＳ 明朝" w:cs="Adobe Song Std L" w:hint="eastAsia"/>
                <w:szCs w:val="21"/>
              </w:rPr>
              <w:t>るよう配慮されている</w:t>
            </w:r>
            <w:r w:rsidR="001274DE" w:rsidRPr="001274DE">
              <w:rPr>
                <w:rFonts w:ascii="ＭＳ 明朝" w:eastAsia="ＭＳ 明朝" w:hAnsi="ＭＳ 明朝" w:cs="Adobe Song Std L"/>
                <w:szCs w:val="21"/>
              </w:rPr>
              <w:t>。（p.52,55,56,61,64）</w:t>
            </w:r>
          </w:p>
          <w:p w14:paraId="30045286" w14:textId="3A4EB258" w:rsidR="00B10B1F" w:rsidRDefault="00EA719B" w:rsidP="000A12C8">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1274DE">
              <w:rPr>
                <w:rFonts w:ascii="ＭＳ 明朝" w:eastAsia="ＭＳ 明朝" w:hAnsi="ＭＳ 明朝" w:cs="Adobe Song Std L" w:hint="eastAsia"/>
                <w:szCs w:val="21"/>
              </w:rPr>
              <w:t>Ａ</w:t>
            </w:r>
            <w:r w:rsidRPr="00DA0F64">
              <w:rPr>
                <w:rFonts w:ascii="ＭＳ 明朝" w:eastAsia="ＭＳ 明朝" w:hAnsi="ＭＳ 明朝" w:cs="Adobe Song Std L"/>
                <w:szCs w:val="21"/>
              </w:rPr>
              <w:t>「</w:t>
            </w:r>
            <w:r>
              <w:rPr>
                <w:rFonts w:ascii="ＭＳ 明朝" w:eastAsia="ＭＳ 明朝" w:hAnsi="ＭＳ 明朝" w:cs="Adobe Song Std L"/>
                <w:szCs w:val="21"/>
              </w:rPr>
              <w:t>2</w:t>
            </w:r>
            <w:r w:rsidRPr="00DA0F64">
              <w:rPr>
                <w:rFonts w:ascii="ＭＳ 明朝" w:eastAsia="ＭＳ 明朝" w:hAnsi="ＭＳ 明朝" w:cs="Adobe Song Std L"/>
                <w:szCs w:val="21"/>
              </w:rPr>
              <w:t>章</w:t>
            </w:r>
            <w:r w:rsidR="00586158">
              <w:rPr>
                <w:rFonts w:ascii="ＭＳ 明朝" w:eastAsia="ＭＳ 明朝" w:hAnsi="ＭＳ 明朝" w:cs="Adobe Song Std L" w:hint="eastAsia"/>
                <w:szCs w:val="21"/>
              </w:rPr>
              <w:t xml:space="preserve">　</w:t>
            </w:r>
            <w:r w:rsidR="001274DE">
              <w:rPr>
                <w:rFonts w:ascii="ＭＳ 明朝" w:eastAsia="ＭＳ 明朝" w:hAnsi="ＭＳ 明朝" w:cs="Adobe Song Std L" w:hint="eastAsia"/>
                <w:szCs w:val="21"/>
              </w:rPr>
              <w:t>図形の性質</w:t>
            </w:r>
            <w:r w:rsidRPr="00DA0F64">
              <w:rPr>
                <w:rFonts w:ascii="ＭＳ 明朝" w:eastAsia="ＭＳ 明朝" w:hAnsi="ＭＳ 明朝" w:cs="Adobe Song Std L"/>
                <w:szCs w:val="21"/>
              </w:rPr>
              <w:t>」では，</w:t>
            </w:r>
            <w:r w:rsidR="001274DE">
              <w:rPr>
                <w:rFonts w:ascii="ＭＳ 明朝" w:eastAsia="ＭＳ 明朝" w:hAnsi="ＭＳ 明朝" w:cs="Adobe Song Std L" w:hint="eastAsia"/>
                <w:szCs w:val="21"/>
              </w:rPr>
              <w:t>円周角の定理，円に内接する四角形の定理，接弦定理の</w:t>
            </w:r>
            <w:r w:rsidR="001274DE" w:rsidRPr="001274DE">
              <w:rPr>
                <w:rFonts w:ascii="ＭＳ 明朝" w:eastAsia="ＭＳ 明朝" w:hAnsi="ＭＳ 明朝" w:cs="Adobe Song Std L"/>
                <w:szCs w:val="21"/>
              </w:rPr>
              <w:t>3つの定理のつながりを確認する問を設け</w:t>
            </w:r>
            <w:r w:rsidR="001274DE">
              <w:rPr>
                <w:rFonts w:ascii="ＭＳ 明朝" w:eastAsia="ＭＳ 明朝" w:hAnsi="ＭＳ 明朝" w:cs="Adobe Song Std L" w:hint="eastAsia"/>
                <w:szCs w:val="21"/>
              </w:rPr>
              <w:t>られていた</w:t>
            </w:r>
            <w:r w:rsidR="001274DE" w:rsidRPr="001274DE">
              <w:rPr>
                <w:rFonts w:ascii="ＭＳ 明朝" w:eastAsia="ＭＳ 明朝" w:hAnsi="ＭＳ 明朝" w:cs="Adobe Song Std L"/>
                <w:szCs w:val="21"/>
              </w:rPr>
              <w:t>り，点と</w:t>
            </w:r>
            <w:r w:rsidR="001274DE">
              <w:rPr>
                <w:rFonts w:ascii="ＭＳ 明朝" w:eastAsia="ＭＳ 明朝" w:hAnsi="ＭＳ 明朝" w:cs="Adobe Song Std L"/>
                <w:szCs w:val="21"/>
              </w:rPr>
              <w:t>円の関係として接線の長さと方べきの定理を一連の流れで取り上げ</w:t>
            </w:r>
            <w:r w:rsidR="001274DE">
              <w:rPr>
                <w:rFonts w:ascii="ＭＳ 明朝" w:eastAsia="ＭＳ 明朝" w:hAnsi="ＭＳ 明朝" w:cs="Adobe Song Std L" w:hint="eastAsia"/>
                <w:szCs w:val="21"/>
              </w:rPr>
              <w:t>られ</w:t>
            </w:r>
            <w:r w:rsidR="00227126">
              <w:rPr>
                <w:rFonts w:ascii="ＭＳ 明朝" w:eastAsia="ＭＳ 明朝" w:hAnsi="ＭＳ 明朝" w:cs="Adobe Song Std L" w:hint="eastAsia"/>
                <w:szCs w:val="21"/>
              </w:rPr>
              <w:t>たりし</w:t>
            </w:r>
            <w:r w:rsidR="001274DE">
              <w:rPr>
                <w:rFonts w:ascii="ＭＳ 明朝" w:eastAsia="ＭＳ 明朝" w:hAnsi="ＭＳ 明朝" w:cs="Adobe Song Std L" w:hint="eastAsia"/>
                <w:szCs w:val="21"/>
              </w:rPr>
              <w:t>ており</w:t>
            </w:r>
            <w:r w:rsidR="001274DE" w:rsidRPr="001274DE">
              <w:rPr>
                <w:rFonts w:ascii="ＭＳ 明朝" w:eastAsia="ＭＳ 明朝" w:hAnsi="ＭＳ 明朝" w:cs="Adobe Song Std L"/>
                <w:szCs w:val="21"/>
              </w:rPr>
              <w:t>，円の性</w:t>
            </w:r>
            <w:r w:rsidR="001274DE">
              <w:rPr>
                <w:rFonts w:ascii="ＭＳ 明朝" w:eastAsia="ＭＳ 明朝" w:hAnsi="ＭＳ 明朝" w:cs="Adobe Song Std L"/>
                <w:szCs w:val="21"/>
              </w:rPr>
              <w:t>質を統合的に理解</w:t>
            </w:r>
            <w:r w:rsidR="001274DE">
              <w:rPr>
                <w:rFonts w:ascii="ＭＳ 明朝" w:eastAsia="ＭＳ 明朝" w:hAnsi="ＭＳ 明朝" w:cs="Adobe Song Std L" w:hint="eastAsia"/>
                <w:szCs w:val="21"/>
              </w:rPr>
              <w:t>できるように工夫されている</w:t>
            </w:r>
            <w:r w:rsidR="001274DE" w:rsidRPr="001274DE">
              <w:rPr>
                <w:rFonts w:ascii="ＭＳ 明朝" w:eastAsia="ＭＳ 明朝" w:hAnsi="ＭＳ 明朝" w:cs="Adobe Song Std L"/>
                <w:szCs w:val="21"/>
              </w:rPr>
              <w:t>。（p.89</w:t>
            </w:r>
            <w:r w:rsidR="001274DE">
              <w:rPr>
                <w:rFonts w:ascii="ＭＳ 明朝" w:eastAsia="ＭＳ 明朝" w:hAnsi="ＭＳ 明朝" w:cs="Adobe Song Std L" w:hint="eastAsia"/>
                <w:szCs w:val="21"/>
              </w:rPr>
              <w:t>～</w:t>
            </w:r>
            <w:r w:rsidR="001274DE" w:rsidRPr="001274DE">
              <w:rPr>
                <w:rFonts w:ascii="ＭＳ 明朝" w:eastAsia="ＭＳ 明朝" w:hAnsi="ＭＳ 明朝" w:cs="Adobe Song Std L"/>
                <w:szCs w:val="21"/>
              </w:rPr>
              <w:t>92）</w:t>
            </w:r>
          </w:p>
          <w:p w14:paraId="7B5151D8" w14:textId="607F451E" w:rsidR="003D33EB" w:rsidRPr="00DA0F64" w:rsidRDefault="003D33EB" w:rsidP="00E31D0C">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1274DE">
              <w:rPr>
                <w:rFonts w:ascii="ＭＳ 明朝" w:eastAsia="ＭＳ 明朝" w:hAnsi="ＭＳ 明朝" w:cs="Adobe Song Std L" w:hint="eastAsia"/>
                <w:szCs w:val="21"/>
              </w:rPr>
              <w:t>Ａ</w:t>
            </w:r>
            <w:r w:rsidRPr="00DA0F64">
              <w:rPr>
                <w:rFonts w:ascii="ＭＳ 明朝" w:eastAsia="ＭＳ 明朝" w:hAnsi="ＭＳ 明朝" w:cs="Adobe Song Std L"/>
                <w:szCs w:val="21"/>
              </w:rPr>
              <w:t>「3章</w:t>
            </w:r>
            <w:r>
              <w:rPr>
                <w:rFonts w:ascii="ＭＳ 明朝" w:eastAsia="ＭＳ 明朝" w:hAnsi="ＭＳ 明朝" w:cs="Adobe Song Std L" w:hint="eastAsia"/>
                <w:szCs w:val="21"/>
              </w:rPr>
              <w:t xml:space="preserve">　</w:t>
            </w:r>
            <w:r w:rsidR="001274DE">
              <w:rPr>
                <w:rFonts w:ascii="ＭＳ 明朝" w:eastAsia="ＭＳ 明朝" w:hAnsi="ＭＳ 明朝" w:cs="Adobe Song Std L" w:hint="eastAsia"/>
                <w:szCs w:val="21"/>
              </w:rPr>
              <w:t>数学と人間の活動</w:t>
            </w:r>
            <w:r w:rsidRPr="00DA0F64">
              <w:rPr>
                <w:rFonts w:ascii="ＭＳ 明朝" w:eastAsia="ＭＳ 明朝" w:hAnsi="ＭＳ 明朝" w:cs="Adobe Song Std L"/>
                <w:szCs w:val="21"/>
              </w:rPr>
              <w:t>」では，</w:t>
            </w:r>
            <w:r w:rsidR="00501BD7">
              <w:rPr>
                <w:rFonts w:ascii="ＭＳ 明朝" w:eastAsia="ＭＳ 明朝" w:hAnsi="ＭＳ 明朝" w:cs="Adobe Song Std L" w:hint="eastAsia"/>
                <w:szCs w:val="21"/>
              </w:rPr>
              <w:t>多様な</w:t>
            </w:r>
            <w:r w:rsidR="00501BD7" w:rsidRPr="00501BD7">
              <w:rPr>
                <w:rFonts w:ascii="ＭＳ 明朝" w:eastAsia="ＭＳ 明朝" w:hAnsi="ＭＳ 明朝" w:cs="Adobe Song Std L" w:hint="eastAsia"/>
                <w:szCs w:val="21"/>
              </w:rPr>
              <w:t>題材</w:t>
            </w:r>
            <w:r w:rsidR="00501BD7">
              <w:rPr>
                <w:rFonts w:ascii="ＭＳ 明朝" w:eastAsia="ＭＳ 明朝" w:hAnsi="ＭＳ 明朝" w:cs="Adobe Song Std L" w:hint="eastAsia"/>
                <w:szCs w:val="21"/>
              </w:rPr>
              <w:t>が扱われおり，それぞれが</w:t>
            </w:r>
            <w:r w:rsidR="00501BD7" w:rsidRPr="00501BD7">
              <w:rPr>
                <w:rFonts w:ascii="ＭＳ 明朝" w:eastAsia="ＭＳ 明朝" w:hAnsi="ＭＳ 明朝" w:cs="Adobe Song Std L" w:hint="eastAsia"/>
                <w:szCs w:val="21"/>
              </w:rPr>
              <w:t>，身の回りの疑問や歴史的な事実から出発し，解決すべき問題を数学的に焦点化し，発問と考察</w:t>
            </w:r>
            <w:r w:rsidR="00501BD7">
              <w:rPr>
                <w:rFonts w:ascii="ＭＳ 明朝" w:eastAsia="ＭＳ 明朝" w:hAnsi="ＭＳ 明朝" w:cs="Adobe Song Std L" w:hint="eastAsia"/>
                <w:szCs w:val="21"/>
              </w:rPr>
              <w:t>を繰り返しながら対話的解決を図ることができるよう設計されている</w:t>
            </w:r>
            <w:r w:rsidR="00501BD7" w:rsidRPr="00501BD7">
              <w:rPr>
                <w:rFonts w:ascii="ＭＳ 明朝" w:eastAsia="ＭＳ 明朝" w:hAnsi="ＭＳ 明朝" w:cs="Adobe Song Std L" w:hint="eastAsia"/>
                <w:szCs w:val="21"/>
              </w:rPr>
              <w:t>。また，</w:t>
            </w:r>
            <w:r w:rsidR="00501BD7">
              <w:rPr>
                <w:rFonts w:ascii="ＭＳ 明朝" w:eastAsia="ＭＳ 明朝" w:hAnsi="ＭＳ 明朝" w:cs="Adobe Song Std L" w:hint="eastAsia"/>
                <w:szCs w:val="21"/>
              </w:rPr>
              <w:t>すべての題材が見開きで構成されており，展開が分かりやすいように工夫されている</w:t>
            </w:r>
            <w:r w:rsidR="00501BD7" w:rsidRPr="00501BD7">
              <w:rPr>
                <w:rFonts w:ascii="ＭＳ 明朝" w:eastAsia="ＭＳ 明朝" w:hAnsi="ＭＳ 明朝" w:cs="Adobe Song Std L" w:hint="eastAsia"/>
                <w:szCs w:val="21"/>
              </w:rPr>
              <w:t>。</w:t>
            </w:r>
            <w:r w:rsidR="00501BD7" w:rsidRPr="001274DE">
              <w:rPr>
                <w:rFonts w:ascii="ＭＳ 明朝" w:eastAsia="ＭＳ 明朝" w:hAnsi="ＭＳ 明朝" w:cs="Adobe Song Std L"/>
                <w:szCs w:val="21"/>
              </w:rPr>
              <w:t>（</w:t>
            </w:r>
            <w:r w:rsidR="00501BD7">
              <w:rPr>
                <w:rFonts w:ascii="ＭＳ 明朝" w:eastAsia="ＭＳ 明朝" w:hAnsi="ＭＳ 明朝" w:cs="Adobe Song Std L"/>
                <w:szCs w:val="21"/>
              </w:rPr>
              <w:t>p.</w:t>
            </w:r>
            <w:r w:rsidR="00501BD7">
              <w:rPr>
                <w:rFonts w:ascii="ＭＳ 明朝" w:eastAsia="ＭＳ 明朝" w:hAnsi="ＭＳ 明朝" w:cs="Adobe Song Std L" w:hint="eastAsia"/>
                <w:szCs w:val="21"/>
              </w:rPr>
              <w:t>116～147</w:t>
            </w:r>
            <w:r w:rsidR="00501BD7" w:rsidRPr="001274DE">
              <w:rPr>
                <w:rFonts w:ascii="ＭＳ 明朝" w:eastAsia="ＭＳ 明朝" w:hAnsi="ＭＳ 明朝" w:cs="Adobe Song Std L"/>
                <w:szCs w:val="21"/>
              </w:rPr>
              <w:t>）</w:t>
            </w:r>
          </w:p>
          <w:p w14:paraId="7961542C" w14:textId="53A1CEE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●学習内容を日常や社会の事象に活用させる内容（「活用」）や，学習内容を数学的に探究させる内容（「探究」）が多数取り</w:t>
            </w:r>
            <w:r w:rsidR="00A75738">
              <w:rPr>
                <w:rFonts w:ascii="ＭＳ 明朝" w:eastAsia="ＭＳ 明朝" w:hAnsi="ＭＳ 明朝" w:cs="Adobe Song Std L"/>
                <w:szCs w:val="21"/>
              </w:rPr>
              <w:t>上げられており，生徒の興味・関心を高める数学的活動を重視した</w:t>
            </w:r>
            <w:r w:rsidR="00A75738">
              <w:rPr>
                <w:rFonts w:ascii="ＭＳ 明朝" w:eastAsia="ＭＳ 明朝" w:hAnsi="ＭＳ 明朝" w:cs="Adobe Song Std L" w:hint="eastAsia"/>
                <w:szCs w:val="21"/>
              </w:rPr>
              <w:t>題材</w:t>
            </w:r>
            <w:r w:rsidRPr="00DA0F64">
              <w:rPr>
                <w:rFonts w:ascii="ＭＳ 明朝" w:eastAsia="ＭＳ 明朝" w:hAnsi="ＭＳ 明朝" w:cs="Adobe Song Std L"/>
                <w:szCs w:val="21"/>
              </w:rPr>
              <w:t>が扱われている。</w:t>
            </w:r>
          </w:p>
          <w:p w14:paraId="25E720C2" w14:textId="10A3E6D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●「発展的な学習内容」は，関連する内容と同じ章に掲載されていて，生徒や学校の実態に応じて無理なく扱えるよう工夫されている。</w:t>
            </w:r>
          </w:p>
        </w:tc>
      </w:tr>
      <w:tr w:rsidR="003D33EB" w:rsidRPr="002C0F0A" w14:paraId="02D08B93" w14:textId="72477F84" w:rsidTr="00A75738">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667564E8"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0ACF378" w14:textId="43C2315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359F97A6" w14:textId="15BB59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●学習指導要領に示された「内容」と「内容の取扱い」に準拠していて，生徒の実態に即し</w:t>
            </w:r>
            <w:r w:rsidRPr="00DA0F64">
              <w:rPr>
                <w:rFonts w:ascii="ＭＳ 明朝" w:eastAsia="ＭＳ 明朝" w:hAnsi="ＭＳ 明朝" w:cs="Adobe Song Std L"/>
                <w:color w:val="000000" w:themeColor="text1"/>
                <w:szCs w:val="21"/>
              </w:rPr>
              <w:t>た</w:t>
            </w:r>
            <w:r w:rsidRPr="00DA0F64">
              <w:rPr>
                <w:rFonts w:ascii="ＭＳ 明朝" w:eastAsia="ＭＳ 明朝" w:hAnsi="ＭＳ 明朝" w:cs="Adobe Song Std L"/>
                <w:szCs w:val="21"/>
              </w:rPr>
              <w:t>必要かつ十分な内容が適切に組織・配列されている。</w:t>
            </w:r>
          </w:p>
          <w:p w14:paraId="46899418" w14:textId="4F5BF2B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●例・例題→問→問題（節末）→練習問題（章末）の順に，段階を追って一定レベルの問題が過不足なく取り上げられており，その分量も適切である。</w:t>
            </w:r>
          </w:p>
          <w:p w14:paraId="27033FED" w14:textId="157C64F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●本文の問の末尾に問題（節末）と練習問題（章末）へのリンクマークが付され，追加問題が扱いやすくなるように工夫されている。</w:t>
            </w:r>
          </w:p>
          <w:p w14:paraId="2EB4AA7C" w14:textId="1C59CAE7" w:rsidR="003D33EB" w:rsidRPr="00DA0F64" w:rsidRDefault="003D33EB" w:rsidP="002C0F0A">
            <w:pPr>
              <w:ind w:left="210" w:hangingChars="100" w:hanging="210"/>
              <w:rPr>
                <w:rFonts w:ascii="ＭＳ 明朝" w:eastAsia="ＭＳ 明朝" w:hAnsi="ＭＳ 明朝" w:cs="Adobe Song Std L"/>
                <w:szCs w:val="21"/>
              </w:rPr>
            </w:pPr>
            <w:bookmarkStart w:id="0" w:name="_GoBack"/>
            <w:bookmarkEnd w:id="0"/>
            <w:r w:rsidRPr="00DA0F64">
              <w:rPr>
                <w:rFonts w:ascii="ＭＳ 明朝" w:eastAsia="ＭＳ 明朝" w:hAnsi="ＭＳ 明朝" w:cs="Adobe Song Std L"/>
                <w:szCs w:val="21"/>
              </w:rPr>
              <w:t>●巻末には，「問題を解くときに働く見方・考え方」や「演習問題」が設けられており，進んだ生徒への配慮もされている。</w:t>
            </w:r>
          </w:p>
          <w:p w14:paraId="63FD2DBD" w14:textId="3BC9B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●巻末には，「中学校で学んだ基本事項」として，高校数学に関連する中学校の学習内容がコンパクトにまとめられている。</w:t>
            </w:r>
          </w:p>
        </w:tc>
      </w:tr>
      <w:tr w:rsidR="003D33EB" w:rsidRPr="002C0F0A" w14:paraId="0190FB83" w14:textId="134720AF" w:rsidTr="00A75738">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3D33EB" w:rsidRDefault="003D33EB" w:rsidP="00DA0F64">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3D33EB" w:rsidRPr="002C0F0A" w:rsidRDefault="003D33EB" w:rsidP="00DA0F64">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03D0C82" w14:textId="588296E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●全編を通して本文の理解を助けるように，イラスト，写真，図が適切に用いられている。</w:t>
            </w:r>
          </w:p>
          <w:p w14:paraId="61159E08"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●必要に応じて色を使い，視覚的な内容理解ができるよう配慮されている。</w:t>
            </w:r>
          </w:p>
          <w:p w14:paraId="155C8BB3"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●用語・記号は統一されており，記述の仕方も適切である。</w:t>
            </w:r>
          </w:p>
          <w:p w14:paraId="1A680FFF" w14:textId="24E50AC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●ICT機器を利用すると効果的な箇所にDマークコンテンツが用意されており，生徒が柔軟に学習を進めることができるよう配慮されている。</w:t>
            </w:r>
          </w:p>
          <w:p w14:paraId="253A656E" w14:textId="01DAE70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●章の扉では，章の学習内容が，身近な題材や数学の歴史などと関連付けて紹介されており，生徒の学習意欲を高めるよう工夫されている。</w:t>
            </w:r>
          </w:p>
          <w:p w14:paraId="4C5204DA" w14:textId="45DDF1F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●教科書を支援する指導書や周辺教材などが充実しており，指導しやすい教科書である。</w:t>
            </w:r>
          </w:p>
        </w:tc>
      </w:tr>
      <w:tr w:rsidR="003D33EB" w:rsidRPr="002C0F0A" w14:paraId="7813244F" w14:textId="4606CFD1" w:rsidTr="00A75738">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320D7BAD" w14:textId="775F5E0C"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A4E6055" w14:textId="6E98D6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15F73D69"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●活字はユニバーサルデザインで美しく，写真，挿し絵も鮮明で効果的である。</w:t>
            </w:r>
          </w:p>
          <w:p w14:paraId="48FBAC67"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●製本は堅牢で，開きやすい様式である。</w:t>
            </w:r>
          </w:p>
          <w:p w14:paraId="7A11BB4A" w14:textId="78AC7F9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●図やグラフの色使いなど，色覚特性への配慮を含むユニバーサルデザインとなっており，全ページにわたって配色を工夫するなど，だれもが見やすい紙面になっている。</w:t>
            </w:r>
          </w:p>
          <w:p w14:paraId="154AF7DA" w14:textId="213D9E8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●本文の用紙には再生紙と植物油インキを使用し，印刷業界団体が定めた環境配慮基準を満たす「グリーンプリンティング認定工場」で印刷するなど，地球環境や資源に及ぼす影響も考慮されている。</w:t>
            </w:r>
          </w:p>
        </w:tc>
      </w:tr>
      <w:tr w:rsidR="003D33EB" w:rsidRPr="002C0F0A" w14:paraId="558625F4" w14:textId="7A170A24" w:rsidTr="00A75738">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156F78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1ED7D53B"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45EDB" w14:textId="77777777" w:rsidR="004E15A2" w:rsidRDefault="004E15A2" w:rsidP="00863C86">
      <w:r>
        <w:separator/>
      </w:r>
    </w:p>
  </w:endnote>
  <w:endnote w:type="continuationSeparator" w:id="0">
    <w:p w14:paraId="3D8D1C6B" w14:textId="77777777" w:rsidR="004E15A2" w:rsidRDefault="004E15A2" w:rsidP="008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4691F" w14:textId="77777777" w:rsidR="004E15A2" w:rsidRDefault="004E15A2" w:rsidP="00863C86">
      <w:r>
        <w:separator/>
      </w:r>
    </w:p>
  </w:footnote>
  <w:footnote w:type="continuationSeparator" w:id="0">
    <w:p w14:paraId="4029E054" w14:textId="77777777" w:rsidR="004E15A2" w:rsidRDefault="004E15A2" w:rsidP="0086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0A12C8"/>
    <w:rsid w:val="001274DE"/>
    <w:rsid w:val="001B2429"/>
    <w:rsid w:val="00227126"/>
    <w:rsid w:val="002C0F0A"/>
    <w:rsid w:val="003D33EB"/>
    <w:rsid w:val="004E15A2"/>
    <w:rsid w:val="004F3FDD"/>
    <w:rsid w:val="00501BD7"/>
    <w:rsid w:val="005617E3"/>
    <w:rsid w:val="00586158"/>
    <w:rsid w:val="005A0DA3"/>
    <w:rsid w:val="00614240"/>
    <w:rsid w:val="00720BBB"/>
    <w:rsid w:val="00775649"/>
    <w:rsid w:val="007B2E68"/>
    <w:rsid w:val="00863C86"/>
    <w:rsid w:val="0091114A"/>
    <w:rsid w:val="00A75738"/>
    <w:rsid w:val="00AA65DB"/>
    <w:rsid w:val="00B10B1F"/>
    <w:rsid w:val="00CF177D"/>
    <w:rsid w:val="00D0453D"/>
    <w:rsid w:val="00DA0F64"/>
    <w:rsid w:val="00E31D0C"/>
    <w:rsid w:val="00EA719B"/>
    <w:rsid w:val="00EE771B"/>
    <w:rsid w:val="00F869E1"/>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C86"/>
    <w:pPr>
      <w:tabs>
        <w:tab w:val="center" w:pos="4252"/>
        <w:tab w:val="right" w:pos="8504"/>
      </w:tabs>
      <w:snapToGrid w:val="0"/>
    </w:pPr>
  </w:style>
  <w:style w:type="character" w:customStyle="1" w:styleId="a4">
    <w:name w:val="ヘッダー (文字)"/>
    <w:basedOn w:val="a0"/>
    <w:link w:val="a3"/>
    <w:uiPriority w:val="99"/>
    <w:rsid w:val="00863C86"/>
  </w:style>
  <w:style w:type="paragraph" w:styleId="a5">
    <w:name w:val="footer"/>
    <w:basedOn w:val="a"/>
    <w:link w:val="a6"/>
    <w:uiPriority w:val="99"/>
    <w:unhideWhenUsed/>
    <w:rsid w:val="00863C86"/>
    <w:pPr>
      <w:tabs>
        <w:tab w:val="center" w:pos="4252"/>
        <w:tab w:val="right" w:pos="8504"/>
      </w:tabs>
      <w:snapToGrid w:val="0"/>
    </w:pPr>
  </w:style>
  <w:style w:type="character" w:customStyle="1" w:styleId="a6">
    <w:name w:val="フッター (文字)"/>
    <w:basedOn w:val="a0"/>
    <w:link w:val="a5"/>
    <w:uiPriority w:val="99"/>
    <w:rsid w:val="0086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D1962-A912-4CBF-A79C-E0B98062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2</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長 秀治</cp:lastModifiedBy>
  <cp:revision>6</cp:revision>
  <dcterms:created xsi:type="dcterms:W3CDTF">2022-03-24T10:01:00Z</dcterms:created>
  <dcterms:modified xsi:type="dcterms:W3CDTF">2022-03-29T11:08:00Z</dcterms:modified>
</cp:coreProperties>
</file>