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BD292" w14:textId="07941C9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令和4年度用内容解説資料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A264C6E" w:rsidR="002C0F0A" w:rsidRPr="007B2E68" w:rsidRDefault="002C0F0A" w:rsidP="002C0F0A">
      <w:pPr>
        <w:jc w:val="right"/>
        <w:rPr>
          <w:rFonts w:ascii="ＭＳ Ｐゴシック" w:eastAsia="ＭＳ Ｐゴシック" w:hAnsi="ＭＳ Ｐゴシック"/>
          <w:sz w:val="20"/>
          <w:szCs w:val="20"/>
        </w:rPr>
      </w:pPr>
      <w:r w:rsidRPr="007B2E68">
        <w:rPr>
          <w:rFonts w:ascii="ＭＳ Ｐゴシック" w:eastAsia="ＭＳ Ｐゴシック" w:hAnsi="ＭＳ Ｐゴシック" w:hint="eastAsia"/>
          <w:sz w:val="20"/>
          <w:szCs w:val="20"/>
        </w:rPr>
        <w:t>数学Ⅰ</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2東書・数Ⅰ701，</w:t>
      </w:r>
      <w:r w:rsidR="00863C86">
        <w:rPr>
          <w:rFonts w:ascii="ＭＳ Ｐゴシック" w:eastAsia="ＭＳ Ｐゴシック" w:hAnsi="ＭＳ Ｐゴシック"/>
          <w:sz w:val="20"/>
          <w:szCs w:val="20"/>
        </w:rPr>
        <w:t>数学Ａ</w:t>
      </w:r>
      <w:r w:rsidR="007B2E68" w:rsidRPr="007B2E68">
        <w:rPr>
          <w:rFonts w:ascii="ＭＳ Ｐゴシック" w:eastAsia="ＭＳ Ｐゴシック" w:hAnsi="ＭＳ Ｐゴシック" w:hint="eastAsia"/>
          <w:sz w:val="20"/>
          <w:szCs w:val="20"/>
        </w:rPr>
        <w:t xml:space="preserve"> </w:t>
      </w:r>
      <w:r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Pr="007B2E68">
        <w:rPr>
          <w:rFonts w:ascii="ＭＳ Ｐゴシック" w:eastAsia="ＭＳ Ｐゴシック" w:hAnsi="ＭＳ Ｐゴシック"/>
          <w:sz w:val="20"/>
          <w:szCs w:val="20"/>
        </w:rPr>
        <w:t>2東書・数A701</w:t>
      </w:r>
      <w:r w:rsidR="007B2E68" w:rsidRPr="007B2E68">
        <w:rPr>
          <w:rFonts w:ascii="ＭＳ Ｐゴシック" w:eastAsia="ＭＳ Ｐゴシック" w:hAnsi="ＭＳ Ｐゴシック"/>
          <w:sz w:val="20"/>
          <w:szCs w:val="20"/>
        </w:rPr>
        <w:t>，数学</w:t>
      </w:r>
      <w:r w:rsidR="007B2E68" w:rsidRPr="007B2E68">
        <w:rPr>
          <w:rFonts w:ascii="ＭＳ Ｐゴシック" w:eastAsia="ＭＳ Ｐゴシック" w:hAnsi="ＭＳ Ｐゴシック" w:hint="eastAsia"/>
          <w:sz w:val="20"/>
          <w:szCs w:val="20"/>
        </w:rPr>
        <w:t xml:space="preserve">Ⅱ </w:t>
      </w:r>
      <w:r w:rsidR="007B2E68"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007B2E68" w:rsidRPr="007B2E68">
        <w:rPr>
          <w:rFonts w:ascii="ＭＳ Ｐゴシック" w:eastAsia="ＭＳ Ｐゴシック" w:hAnsi="ＭＳ Ｐゴシック"/>
          <w:sz w:val="20"/>
          <w:szCs w:val="20"/>
        </w:rPr>
        <w:t>2東書・数</w:t>
      </w:r>
      <w:r w:rsidR="007B2E68" w:rsidRPr="007B2E68">
        <w:rPr>
          <w:rFonts w:ascii="ＭＳ Ｐゴシック" w:eastAsia="ＭＳ Ｐゴシック" w:hAnsi="ＭＳ Ｐゴシック" w:hint="eastAsia"/>
          <w:sz w:val="20"/>
          <w:szCs w:val="20"/>
        </w:rPr>
        <w:t>Ⅱ</w:t>
      </w:r>
      <w:r w:rsidR="007B2E68" w:rsidRPr="007B2E68">
        <w:rPr>
          <w:rFonts w:ascii="ＭＳ Ｐゴシック" w:eastAsia="ＭＳ Ｐゴシック" w:hAnsi="ＭＳ Ｐゴシック"/>
          <w:sz w:val="20"/>
          <w:szCs w:val="20"/>
        </w:rPr>
        <w:t>701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3D33EB">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7D7FB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7D7FB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7D7FB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543473F5" w14:textId="625680FD"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●数学Ⅰ「1章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数と式」では，多項式の積の順序を考えて式を展開する場面や，それぞれの文字に着目して式を因数分解する場面が設けられており，式を目的に応じて適切に変形する力を養うように工夫されている。（p.13,18,19）</w:t>
            </w:r>
          </w:p>
          <w:p w14:paraId="7B5151D8" w14:textId="2B9F565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●数学Ⅰ「3章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2次関数」では，定義域がある範囲に制限された2次関数の最大値や最小値を求める際に，定義域の両端と放物線の軸の位置の関係についての着眼点がまとめられており，内容の理解が深まるように工夫されている。（p.86～88）</w:t>
            </w:r>
          </w:p>
          <w:p w14:paraId="79BDD57C" w14:textId="1ABFCE5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●数学Ⅰ「4章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図形と計量」では，正弦定理や余弦定理の証明の考え方が，具体的な場面から一般的な証明へと展開されており，生徒が納得できるように工夫されている。（p.146～148,p.150～151）</w:t>
            </w:r>
          </w:p>
          <w:p w14:paraId="02B3E65E" w14:textId="22FDC75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863C86">
              <w:rPr>
                <w:rFonts w:ascii="ＭＳ 明朝" w:eastAsia="ＭＳ 明朝" w:hAnsi="ＭＳ 明朝" w:cs="Adobe Song Std L"/>
                <w:szCs w:val="21"/>
              </w:rPr>
              <w:t>数学Ａ</w:t>
            </w:r>
            <w:r w:rsidRPr="00DA0F64">
              <w:rPr>
                <w:rFonts w:ascii="ＭＳ 明朝" w:eastAsia="ＭＳ 明朝" w:hAnsi="ＭＳ 明朝" w:cs="Adobe Song Std L"/>
                <w:szCs w:val="21"/>
              </w:rPr>
              <w:t>「1章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場合の数と確率」では，様々な場合の数を求める際に，既に学習した内容と対比する場面が設けられており，体系的な理解が得られるように工夫されている。（p.21,23,27,32）</w:t>
            </w:r>
          </w:p>
          <w:p w14:paraId="4A99626A" w14:textId="40F5555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863C86">
              <w:rPr>
                <w:rFonts w:ascii="ＭＳ 明朝" w:eastAsia="ＭＳ 明朝" w:hAnsi="ＭＳ 明朝" w:cs="Adobe Song Std L"/>
                <w:szCs w:val="21"/>
              </w:rPr>
              <w:t>数学Ａ</w:t>
            </w:r>
            <w:r w:rsidRPr="00DA0F64">
              <w:rPr>
                <w:rFonts w:ascii="ＭＳ 明朝" w:eastAsia="ＭＳ 明朝" w:hAnsi="ＭＳ 明朝" w:cs="Adobe Song Std L"/>
                <w:szCs w:val="21"/>
              </w:rPr>
              <w:t>「2章</w:t>
            </w:r>
            <w:r>
              <w:rPr>
                <w:rFonts w:ascii="ＭＳ 明朝" w:eastAsia="ＭＳ 明朝" w:hAnsi="ＭＳ 明朝" w:cs="Adobe Song Std L" w:hint="eastAsia"/>
                <w:szCs w:val="21"/>
              </w:rPr>
              <w:t xml:space="preserve">　</w:t>
            </w:r>
            <w:r w:rsidRPr="00DA0F64">
              <w:rPr>
                <w:rFonts w:ascii="ＭＳ 明朝" w:eastAsia="ＭＳ 明朝" w:hAnsi="ＭＳ 明朝" w:cs="Adobe Song Std L"/>
                <w:szCs w:val="21"/>
              </w:rPr>
              <w:t>図形の性質」では，メネラウスの定理とチェバの定理の証明について，異なる場面でも同様に証明できることを確認する問が設けられており，図形の証明についての理解が深められ，さらに統合的・発展的な視点も身につけられるように工夫されている。（p.76～77）</w:t>
            </w:r>
          </w:p>
          <w:p w14:paraId="7961542C" w14:textId="1F0EAA3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として，学習内容を日常や社会の事象に活用させる内容（「活用」）や，学習内容を数学的に探究させる内容（「探究」）が多数取り上げられており，生徒の興味・関心を高める数学的活動を重視した課題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lastRenderedPageBreak/>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42B82D75" w14:textId="603996C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●課題学習は，節末や章末に掲載されており，生徒や学校の実態に応じた指導ができるように配慮されている。</w:t>
            </w:r>
          </w:p>
          <w:p w14:paraId="2EB4AA7C" w14:textId="1C59CAE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●巻末には，「問題を解くときに働く見方・考え方」や「演習問題」が設けられており，進んだ生徒への配慮もされている。</w:t>
            </w:r>
          </w:p>
          <w:p w14:paraId="63FD2DBD" w14:textId="3BC9B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●巻末には，「中学校で学んだ基本事項」として，高校数学に関連する中学校の学習内容がコンパクトにまとめられている。</w:t>
            </w:r>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24E50AC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●ICT機器を利用すると効果的な箇所にDマークコンテンツが用意されており，生徒が柔軟に学習を進めることができるよう配慮されている。</w:t>
            </w:r>
          </w:p>
          <w:p w14:paraId="253A656E" w14:textId="01DAE70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●章の扉では，章の学習内容が，身近な題材や数学の歴史などと関連付けて紹介されており，生徒の学習意欲を高めるよう工夫されている。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AB4E5" w14:textId="77777777" w:rsidR="005617E3" w:rsidRDefault="005617E3" w:rsidP="00863C86">
      <w:r>
        <w:separator/>
      </w:r>
    </w:p>
  </w:endnote>
  <w:endnote w:type="continuationSeparator" w:id="0">
    <w:p w14:paraId="1DA4699D" w14:textId="77777777" w:rsidR="005617E3" w:rsidRDefault="005617E3"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20B0300000000000000"/>
    <w:charset w:val="80"/>
    <w:family w:val="swiss"/>
    <w:notTrueType/>
    <w:pitch w:val="variable"/>
    <w:sig w:usb0="A00002FF" w:usb1="68C7FEFF" w:usb2="00000012" w:usb3="00000000" w:csb0="00020005" w:csb1="00000000"/>
  </w:font>
  <w:font w:name="Adobe Song Std L">
    <w:altName w:val="Adobe Song Std L"/>
    <w:panose1 w:val="020203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9C789" w14:textId="77777777" w:rsidR="005617E3" w:rsidRDefault="005617E3" w:rsidP="00863C86">
      <w:r>
        <w:separator/>
      </w:r>
    </w:p>
  </w:footnote>
  <w:footnote w:type="continuationSeparator" w:id="0">
    <w:p w14:paraId="62D5DAD4" w14:textId="77777777" w:rsidR="005617E3" w:rsidRDefault="005617E3"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0A"/>
    <w:rsid w:val="002C0F0A"/>
    <w:rsid w:val="003D33EB"/>
    <w:rsid w:val="005617E3"/>
    <w:rsid w:val="007B2E68"/>
    <w:rsid w:val="00863C86"/>
    <w:rsid w:val="00D0453D"/>
    <w:rsid w:val="00DA0F64"/>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364</Words>
  <Characters>2080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提橋 正一</dc:creator>
  <cp:keywords/>
  <dc:description/>
  <cp:lastModifiedBy>提橋 正一</cp:lastModifiedBy>
  <cp:revision>4</cp:revision>
  <dcterms:created xsi:type="dcterms:W3CDTF">2021-04-30T15:02:00Z</dcterms:created>
  <dcterms:modified xsi:type="dcterms:W3CDTF">2021-04-30T16:17:00Z</dcterms:modified>
</cp:coreProperties>
</file>