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bookmarkStart w:id="0" w:name="_GoBack"/>
      <w:bookmarkEnd w:id="0"/>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554463" w:rsidRDefault="00554463" w:rsidP="00554463">
            <w:pPr>
              <w:ind w:left="6"/>
              <w:jc w:val="left"/>
              <w:rPr>
                <w:rFonts w:ascii="ＭＳ ゴシック" w:eastAsia="ＭＳ ゴシック" w:hAnsi="ＭＳ ゴシック"/>
                <w:sz w:val="20"/>
                <w:szCs w:val="20"/>
              </w:rPr>
            </w:pPr>
            <w:r w:rsidRPr="00554463">
              <w:rPr>
                <w:rFonts w:ascii="ＭＳ ゴシック" w:eastAsia="ＭＳ ゴシック" w:hAnsi="ＭＳ ゴシック" w:hint="eastAsia"/>
                <w:sz w:val="20"/>
                <w:szCs w:val="20"/>
              </w:rPr>
              <w:t>公共</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554463" w:rsidP="008C108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公共</w:t>
            </w:r>
            <w:r w:rsidR="008906A1">
              <w:rPr>
                <w:rFonts w:ascii="ＭＳ ゴシック" w:eastAsia="ＭＳ ゴシック" w:hAnsi="ＭＳ ゴシック" w:hint="eastAsia"/>
                <w:sz w:val="20"/>
                <w:szCs w:val="20"/>
              </w:rPr>
              <w:t xml:space="preserve"> </w:t>
            </w:r>
            <w:r w:rsidR="008906A1">
              <w:rPr>
                <w:rFonts w:ascii="ＭＳ ゴシック" w:eastAsia="ＭＳ ゴシック" w:hAnsi="ＭＳ ゴシック"/>
                <w:sz w:val="20"/>
                <w:szCs w:val="20"/>
              </w:rPr>
              <w:t>002-901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FC336A">
        <w:trPr>
          <w:trHeight w:val="234"/>
        </w:trPr>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C41B83" w:rsidRPr="00C41B83" w:rsidRDefault="000E7549" w:rsidP="001A3881">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FC336A" w:rsidRPr="000F3935" w:rsidRDefault="000E7549" w:rsidP="001A3881">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rsidR="00554463" w:rsidRPr="00554463"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○人間と社会の在り方についての見方・考え方を働かせ</w:t>
            </w:r>
            <w:r w:rsidR="00C00CD1">
              <w:rPr>
                <w:rFonts w:ascii="ＭＳ 明朝" w:eastAsia="ＭＳ 明朝" w:hAnsi="ＭＳ 明朝" w:hint="eastAsia"/>
                <w:sz w:val="20"/>
                <w:szCs w:val="20"/>
              </w:rPr>
              <w:t>、</w:t>
            </w:r>
            <w:r w:rsidRPr="00554463">
              <w:rPr>
                <w:rFonts w:ascii="ＭＳ 明朝" w:eastAsia="ＭＳ 明朝" w:hAnsi="ＭＳ 明朝" w:hint="eastAsia"/>
                <w:sz w:val="20"/>
                <w:szCs w:val="20"/>
              </w:rPr>
              <w:t>現代の諸課題を追究したり解決したりする活動を通して</w:t>
            </w:r>
            <w:r w:rsidR="00C00CD1">
              <w:rPr>
                <w:rFonts w:ascii="ＭＳ 明朝" w:eastAsia="ＭＳ 明朝" w:hAnsi="ＭＳ 明朝" w:hint="eastAsia"/>
                <w:sz w:val="20"/>
                <w:szCs w:val="20"/>
              </w:rPr>
              <w:t>、</w:t>
            </w:r>
            <w:r w:rsidRPr="00554463">
              <w:rPr>
                <w:rFonts w:ascii="ＭＳ 明朝" w:eastAsia="ＭＳ 明朝" w:hAnsi="ＭＳ 明朝" w:hint="eastAsia"/>
                <w:sz w:val="20"/>
                <w:szCs w:val="20"/>
              </w:rPr>
              <w:t>グローバル化する国際社会に主体的に生きる公民としての資質・能力を育成するための内容が適切に取り上げられている。</w:t>
            </w:r>
          </w:p>
          <w:p w:rsidR="00554463" w:rsidRPr="00554463"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○学習指導要領に示された「内容」および「内容の取扱い」に準拠し</w:t>
            </w:r>
            <w:r w:rsidR="00C00CD1">
              <w:rPr>
                <w:rFonts w:ascii="ＭＳ 明朝" w:eastAsia="ＭＳ 明朝" w:hAnsi="ＭＳ 明朝" w:hint="eastAsia"/>
                <w:sz w:val="20"/>
                <w:szCs w:val="20"/>
              </w:rPr>
              <w:t>、</w:t>
            </w:r>
            <w:r w:rsidRPr="00554463">
              <w:rPr>
                <w:rFonts w:ascii="ＭＳ 明朝" w:eastAsia="ＭＳ 明朝" w:hAnsi="ＭＳ 明朝" w:hint="eastAsia"/>
                <w:sz w:val="20"/>
                <w:szCs w:val="20"/>
              </w:rPr>
              <w:t>生徒の実態に即した必要かつ十分な内容が適切に組織・配列されている。</w:t>
            </w:r>
          </w:p>
          <w:p w:rsidR="00A73A64" w:rsidRPr="000F3935"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〇現代の諸課題を考察するための基礎的・基本的な社会的事象等がバランスよく取り上げられ</w:t>
            </w:r>
            <w:r w:rsidR="00C00CD1">
              <w:rPr>
                <w:rFonts w:ascii="ＭＳ 明朝" w:eastAsia="ＭＳ 明朝" w:hAnsi="ＭＳ 明朝" w:hint="eastAsia"/>
                <w:sz w:val="20"/>
                <w:szCs w:val="20"/>
              </w:rPr>
              <w:t>、</w:t>
            </w:r>
            <w:r w:rsidRPr="00554463">
              <w:rPr>
                <w:rFonts w:ascii="ＭＳ 明朝" w:eastAsia="ＭＳ 明朝" w:hAnsi="ＭＳ 明朝" w:hint="eastAsia"/>
                <w:sz w:val="20"/>
                <w:szCs w:val="20"/>
              </w:rPr>
              <w:t>重要語句は本文の中で太字を使って示されている。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内容の組織・配列は</w:t>
            </w:r>
            <w:r w:rsidR="00C00CD1">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学習指導を有効に進められるように考慮されているか。</w:t>
            </w:r>
          </w:p>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分量は学習指導を有効に進められるように考慮され</w:t>
            </w:r>
            <w:r w:rsidR="00C00CD1">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精選されているか。</w:t>
            </w:r>
          </w:p>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中高の接続に対する配慮がなされているか。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弾力的な取り扱いに対する配慮がなされているか。</w:t>
            </w:r>
          </w:p>
        </w:tc>
        <w:tc>
          <w:tcPr>
            <w:tcW w:w="9073" w:type="dxa"/>
          </w:tcPr>
          <w:p w:rsidR="00C00CD1" w:rsidRPr="00C00CD1" w:rsidRDefault="00C00CD1" w:rsidP="00C00CD1">
            <w:pPr>
              <w:ind w:left="200" w:hangingChars="100" w:hanging="200"/>
              <w:rPr>
                <w:rFonts w:ascii="ＭＳ 明朝" w:eastAsia="ＭＳ 明朝" w:hAnsi="ＭＳ 明朝"/>
                <w:sz w:val="20"/>
                <w:szCs w:val="20"/>
              </w:rPr>
            </w:pPr>
            <w:r w:rsidRPr="00C00CD1">
              <w:rPr>
                <w:rFonts w:ascii="ＭＳ 明朝" w:eastAsia="ＭＳ 明朝" w:hAnsi="ＭＳ 明朝" w:hint="eastAsia"/>
                <w:sz w:val="20"/>
                <w:szCs w:val="20"/>
              </w:rPr>
              <w:t>○全体を通して、組織・配列は学習指導要領に準じて系統的に構成されている。第2部は5章・13テーマで配列され、各テーマの冒頭に「追究しよう」が設けられており、現実社会の諸課題に関わる主題を追究したり解決したりする活動が有効に進められるように考慮されている。</w:t>
            </w:r>
          </w:p>
          <w:p w:rsidR="00C00CD1" w:rsidRPr="00C00CD1" w:rsidRDefault="00C00CD1" w:rsidP="00C00CD1">
            <w:pPr>
              <w:ind w:left="200" w:hangingChars="100" w:hanging="200"/>
              <w:rPr>
                <w:rFonts w:ascii="ＭＳ 明朝" w:eastAsia="ＭＳ 明朝" w:hAnsi="ＭＳ 明朝"/>
                <w:sz w:val="20"/>
                <w:szCs w:val="20"/>
              </w:rPr>
            </w:pPr>
            <w:r w:rsidRPr="00C00CD1">
              <w:rPr>
                <w:rFonts w:ascii="ＭＳ 明朝" w:eastAsia="ＭＳ 明朝" w:hAnsi="ＭＳ 明朝" w:hint="eastAsia"/>
                <w:sz w:val="20"/>
                <w:szCs w:val="20"/>
              </w:rPr>
              <w:t>○「本文ページ」と「追究しよう」は1テーマ1見開きで扱われている。「本文ページ」は50見開きにまとめられており、年間指導時数に照らして指導しやすい分量となるよう考慮されている。</w:t>
            </w:r>
          </w:p>
          <w:p w:rsidR="00C00CD1" w:rsidRPr="00C00CD1" w:rsidRDefault="00C00CD1" w:rsidP="00C00CD1">
            <w:pPr>
              <w:ind w:left="200" w:hangingChars="100" w:hanging="200"/>
              <w:rPr>
                <w:rFonts w:ascii="ＭＳ 明朝" w:eastAsia="ＭＳ 明朝" w:hAnsi="ＭＳ 明朝"/>
                <w:sz w:val="20"/>
                <w:szCs w:val="20"/>
              </w:rPr>
            </w:pPr>
            <w:r w:rsidRPr="00C00CD1">
              <w:rPr>
                <w:rFonts w:ascii="ＭＳ 明朝" w:eastAsia="ＭＳ 明朝" w:hAnsi="ＭＳ 明朝" w:hint="eastAsia"/>
                <w:sz w:val="20"/>
                <w:szCs w:val="20"/>
              </w:rPr>
              <w:t>○全体を通して、中学校での既習内容をふまえて記述されており、中高接続に対する配慮がなされている。</w:t>
            </w:r>
          </w:p>
          <w:p w:rsidR="00A73A64" w:rsidRPr="000F3935" w:rsidRDefault="00C00CD1" w:rsidP="00C00CD1">
            <w:pPr>
              <w:ind w:left="200" w:hangingChars="100" w:hanging="200"/>
              <w:rPr>
                <w:rFonts w:ascii="ＭＳ 明朝" w:eastAsia="ＭＳ 明朝" w:hAnsi="ＭＳ 明朝"/>
                <w:sz w:val="20"/>
                <w:szCs w:val="20"/>
              </w:rPr>
            </w:pPr>
            <w:r w:rsidRPr="00C00CD1">
              <w:rPr>
                <w:rFonts w:ascii="ＭＳ 明朝" w:eastAsia="ＭＳ 明朝" w:hAnsi="ＭＳ 明朝" w:hint="eastAsia"/>
                <w:sz w:val="20"/>
                <w:szCs w:val="20"/>
              </w:rPr>
              <w:t>○倫理や政治・経済の学習を先取りする「ステップアップ」など、生徒の実態に応じて弾力的な扱いが可能な「特設ページ」が充実しており、幅広い授業展開ができるよう配慮されている。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学習意欲を高めるための配慮がなされているか。</w:t>
            </w:r>
          </w:p>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用語・記号の取り上げ方や記述のしかたは適切か。</w:t>
            </w:r>
          </w:p>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生徒の自学自習への配慮や工夫がなされているか。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指導書や周辺教材での工夫や配慮がなされているか。</w:t>
            </w:r>
          </w:p>
        </w:tc>
        <w:tc>
          <w:tcPr>
            <w:tcW w:w="9073" w:type="dxa"/>
          </w:tcPr>
          <w:p w:rsidR="002E2545" w:rsidRPr="002E2545" w:rsidRDefault="002E2545" w:rsidP="002E2545">
            <w:pPr>
              <w:ind w:left="200" w:hangingChars="100" w:hanging="200"/>
              <w:rPr>
                <w:rFonts w:ascii="ＭＳ 明朝" w:eastAsia="ＭＳ 明朝" w:hAnsi="ＭＳ 明朝"/>
                <w:sz w:val="20"/>
                <w:szCs w:val="20"/>
              </w:rPr>
            </w:pPr>
            <w:r w:rsidRPr="002E2545">
              <w:rPr>
                <w:rFonts w:ascii="ＭＳ 明朝" w:eastAsia="ＭＳ 明朝" w:hAnsi="ＭＳ 明朝" w:hint="eastAsia"/>
                <w:sz w:val="20"/>
                <w:szCs w:val="20"/>
              </w:rPr>
              <w:t>○「本文ページ」の各見開きに「学習課題」と「チェック」「トライ」が設定されるなど、生徒の主体的、学習活動への意欲を高めるための配慮がなされている。</w:t>
            </w:r>
          </w:p>
          <w:p w:rsidR="002E2545" w:rsidRPr="002E2545" w:rsidRDefault="002E2545" w:rsidP="002E2545">
            <w:pPr>
              <w:ind w:left="200" w:hangingChars="100" w:hanging="200"/>
              <w:rPr>
                <w:rFonts w:ascii="ＭＳ 明朝" w:eastAsia="ＭＳ 明朝" w:hAnsi="ＭＳ 明朝"/>
                <w:sz w:val="20"/>
                <w:szCs w:val="20"/>
              </w:rPr>
            </w:pPr>
            <w:r w:rsidRPr="002E2545">
              <w:rPr>
                <w:rFonts w:ascii="ＭＳ 明朝" w:eastAsia="ＭＳ 明朝" w:hAnsi="ＭＳ 明朝" w:hint="eastAsia"/>
                <w:sz w:val="20"/>
                <w:szCs w:val="20"/>
              </w:rPr>
              <w:t>○用語・記号は統一されており、記述のしかたもわかりやすく適切である。</w:t>
            </w:r>
          </w:p>
          <w:p w:rsidR="002E2545" w:rsidRPr="002E2545" w:rsidRDefault="002E2545" w:rsidP="002E2545">
            <w:pPr>
              <w:ind w:left="200" w:hangingChars="100" w:hanging="200"/>
              <w:rPr>
                <w:rFonts w:ascii="ＭＳ 明朝" w:eastAsia="ＭＳ 明朝" w:hAnsi="ＭＳ 明朝"/>
                <w:sz w:val="20"/>
                <w:szCs w:val="20"/>
              </w:rPr>
            </w:pPr>
            <w:r w:rsidRPr="002E2545">
              <w:rPr>
                <w:rFonts w:ascii="ＭＳ 明朝" w:eastAsia="ＭＳ 明朝" w:hAnsi="ＭＳ 明朝" w:hint="eastAsia"/>
                <w:sz w:val="20"/>
                <w:szCs w:val="20"/>
              </w:rPr>
              <w:t>〇記述は平易・簡明であり、生徒が読みやすいようにルビが適切に付され、学習の要点を容易につかめるよう重要語句は太字で示されている。QRコンテンツとして事項解説や用語解説、演習問題等が用意されており、自学自習に対する配慮がなされている。</w:t>
            </w:r>
          </w:p>
          <w:p w:rsidR="00A73A64" w:rsidRPr="00D26BB7" w:rsidRDefault="002E2545" w:rsidP="002E2545">
            <w:pPr>
              <w:ind w:left="200" w:hangingChars="100" w:hanging="200"/>
              <w:rPr>
                <w:rFonts w:ascii="ＭＳ 明朝" w:eastAsia="ＭＳ 明朝" w:hAnsi="ＭＳ 明朝"/>
                <w:sz w:val="20"/>
                <w:szCs w:val="20"/>
              </w:rPr>
            </w:pPr>
            <w:r w:rsidRPr="002E2545">
              <w:rPr>
                <w:rFonts w:ascii="ＭＳ 明朝" w:eastAsia="ＭＳ 明朝" w:hAnsi="ＭＳ 明朝" w:hint="eastAsia"/>
                <w:sz w:val="20"/>
                <w:szCs w:val="20"/>
              </w:rPr>
              <w:t>○指導書や指導用DVD-ROM、準拠教材が準備されており、教科書との併用によって、より学習効果を高めることができるよう配慮されている。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印刷の鮮明さ</w:t>
            </w:r>
            <w:r w:rsidR="00C00CD1">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活字の大きさ</w:t>
            </w:r>
            <w:r w:rsidR="00C00CD1">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行間</w:t>
            </w:r>
            <w:r w:rsidR="00C00CD1">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製本などは適切か。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環境保全や生徒の多様な特性に配慮がなされているか。</w:t>
            </w:r>
          </w:p>
        </w:tc>
        <w:tc>
          <w:tcPr>
            <w:tcW w:w="9073" w:type="dxa"/>
          </w:tcPr>
          <w:p w:rsidR="00293FE4" w:rsidRPr="00293FE4" w:rsidRDefault="00293FE4" w:rsidP="00293FE4">
            <w:pPr>
              <w:ind w:left="200" w:hangingChars="100" w:hanging="200"/>
              <w:rPr>
                <w:rFonts w:ascii="ＭＳ 明朝" w:eastAsia="ＭＳ 明朝" w:hAnsi="ＭＳ 明朝"/>
                <w:sz w:val="20"/>
                <w:szCs w:val="20"/>
              </w:rPr>
            </w:pPr>
            <w:r w:rsidRPr="00293FE4">
              <w:rPr>
                <w:rFonts w:ascii="ＭＳ 明朝" w:eastAsia="ＭＳ 明朝" w:hAnsi="ＭＳ 明朝" w:hint="eastAsia"/>
                <w:sz w:val="20"/>
                <w:szCs w:val="20"/>
              </w:rPr>
              <w:t>○活字の大きさや配置、用紙の色などは読みやすく配慮されており、写真・図版も大きく鮮明で効果的である。製本も堅牢である。</w:t>
            </w:r>
          </w:p>
          <w:p w:rsidR="00293FE4" w:rsidRPr="00293FE4" w:rsidRDefault="00293FE4" w:rsidP="00293FE4">
            <w:pPr>
              <w:ind w:left="200" w:hangingChars="100" w:hanging="200"/>
              <w:rPr>
                <w:rFonts w:ascii="ＭＳ 明朝" w:eastAsia="ＭＳ 明朝" w:hAnsi="ＭＳ 明朝"/>
                <w:sz w:val="20"/>
                <w:szCs w:val="20"/>
              </w:rPr>
            </w:pPr>
            <w:r w:rsidRPr="00293FE4">
              <w:rPr>
                <w:rFonts w:ascii="ＭＳ 明朝" w:eastAsia="ＭＳ 明朝" w:hAnsi="ＭＳ 明朝" w:hint="eastAsia"/>
                <w:sz w:val="20"/>
                <w:szCs w:val="20"/>
              </w:rPr>
              <w:t>○再生紙・植物油インキが使用されており、地球環境や資源に及ぼす影響が考慮されている。</w:t>
            </w:r>
          </w:p>
          <w:p w:rsidR="00A73A64" w:rsidRPr="000F3935" w:rsidRDefault="00293FE4" w:rsidP="00293FE4">
            <w:pPr>
              <w:ind w:left="200" w:hangingChars="100" w:hanging="200"/>
              <w:rPr>
                <w:rFonts w:ascii="ＭＳ 明朝" w:eastAsia="ＭＳ 明朝" w:hAnsi="ＭＳ 明朝"/>
                <w:sz w:val="20"/>
                <w:szCs w:val="20"/>
              </w:rPr>
            </w:pPr>
            <w:r w:rsidRPr="00293FE4">
              <w:rPr>
                <w:rFonts w:ascii="ＭＳ 明朝" w:eastAsia="ＭＳ 明朝" w:hAnsi="ＭＳ 明朝" w:hint="eastAsia"/>
                <w:sz w:val="20"/>
                <w:szCs w:val="20"/>
              </w:rPr>
              <w:t>◯図の色遣いなどは色覚特性への配慮を含むユニバーサルデザインとなっており、配色が工夫され、見やすい紙面になっている。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A73A64" w:rsidRPr="000F3935" w:rsidRDefault="000E7549" w:rsidP="00096F1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上記観点からみた</w:t>
            </w:r>
            <w:r w:rsidR="00C00CD1">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全体的・総合的な当教科書の特徴</w:t>
            </w:r>
          </w:p>
        </w:tc>
        <w:tc>
          <w:tcPr>
            <w:tcW w:w="9073" w:type="dxa"/>
          </w:tcPr>
          <w:p w:rsidR="00A73A64" w:rsidRPr="000F3935" w:rsidRDefault="00494985" w:rsidP="000351B3">
            <w:pPr>
              <w:ind w:left="200" w:hangingChars="100" w:hanging="200"/>
              <w:rPr>
                <w:rFonts w:ascii="ＭＳ 明朝" w:eastAsia="ＭＳ 明朝" w:hAnsi="ＭＳ 明朝"/>
                <w:sz w:val="20"/>
                <w:szCs w:val="20"/>
              </w:rPr>
            </w:pPr>
            <w:r w:rsidRPr="00494985">
              <w:rPr>
                <w:rFonts w:ascii="ＭＳ 明朝" w:eastAsia="ＭＳ 明朝" w:hAnsi="ＭＳ 明朝" w:hint="eastAsia"/>
                <w:sz w:val="20"/>
                <w:szCs w:val="20"/>
              </w:rPr>
              <w:t>○全体的に、基礎的・基本的な内容が偏ることなくわかりやすく提示され、生徒の主体的な学習を促す工夫が随所に示されている。また、生徒の興味・関心に応じて深化・発展させられる工夫もなされている。総合的にみて、構成・内容・程度・分量などのバランスがとれ、配慮の行き届いた、使いやすい教科書である。</w:t>
            </w:r>
          </w:p>
        </w:tc>
      </w:tr>
    </w:tbl>
    <w:p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sidR="00B75ABE">
        <w:rPr>
          <w:rFonts w:ascii="ＭＳ Ｐゴシック" w:eastAsia="ＭＳ Ｐゴシック" w:hAnsi="ＭＳ Ｐゴシック"/>
          <w:sz w:val="20"/>
          <w:szCs w:val="20"/>
        </w:rPr>
        <w:t>8</w:t>
      </w:r>
      <w:r w:rsidR="00DA3C36" w:rsidRPr="00DA3C36">
        <w:rPr>
          <w:rFonts w:ascii="ＭＳ Ｐゴシック" w:eastAsia="ＭＳ Ｐゴシック" w:hAnsi="ＭＳ Ｐゴシック" w:hint="eastAsia"/>
          <w:sz w:val="20"/>
          <w:szCs w:val="20"/>
        </w:rPr>
        <w:t>年度用 高等学校教科書内容解説資料</w:t>
      </w:r>
    </w:p>
    <w:p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5D3" w:rsidRDefault="004235D3">
      <w:r>
        <w:separator/>
      </w:r>
    </w:p>
  </w:endnote>
  <w:endnote w:type="continuationSeparator" w:id="0">
    <w:p w:rsidR="004235D3" w:rsidRDefault="0042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5D3" w:rsidRDefault="004235D3">
      <w:r>
        <w:separator/>
      </w:r>
    </w:p>
  </w:footnote>
  <w:footnote w:type="continuationSeparator" w:id="0">
    <w:p w:rsidR="004235D3" w:rsidRDefault="00423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96F1E"/>
    <w:rsid w:val="000B43BA"/>
    <w:rsid w:val="000C4192"/>
    <w:rsid w:val="000E7549"/>
    <w:rsid w:val="000F3935"/>
    <w:rsid w:val="0010278B"/>
    <w:rsid w:val="00111F64"/>
    <w:rsid w:val="001228A5"/>
    <w:rsid w:val="00140654"/>
    <w:rsid w:val="00152766"/>
    <w:rsid w:val="001A3881"/>
    <w:rsid w:val="001F0E9E"/>
    <w:rsid w:val="001F6DE1"/>
    <w:rsid w:val="00204C02"/>
    <w:rsid w:val="002120A3"/>
    <w:rsid w:val="00224E39"/>
    <w:rsid w:val="00225390"/>
    <w:rsid w:val="00247E57"/>
    <w:rsid w:val="00252544"/>
    <w:rsid w:val="002606AC"/>
    <w:rsid w:val="00286F54"/>
    <w:rsid w:val="00293A21"/>
    <w:rsid w:val="00293FE4"/>
    <w:rsid w:val="002A31F8"/>
    <w:rsid w:val="002B3E86"/>
    <w:rsid w:val="002E2545"/>
    <w:rsid w:val="00302FC7"/>
    <w:rsid w:val="00310802"/>
    <w:rsid w:val="0031709D"/>
    <w:rsid w:val="00337DC6"/>
    <w:rsid w:val="003452E6"/>
    <w:rsid w:val="0034601B"/>
    <w:rsid w:val="0034740A"/>
    <w:rsid w:val="00363169"/>
    <w:rsid w:val="0037708A"/>
    <w:rsid w:val="00380A85"/>
    <w:rsid w:val="003C2187"/>
    <w:rsid w:val="003D6F36"/>
    <w:rsid w:val="003E05F8"/>
    <w:rsid w:val="003E5BD7"/>
    <w:rsid w:val="004124AB"/>
    <w:rsid w:val="00414750"/>
    <w:rsid w:val="004235D3"/>
    <w:rsid w:val="004306C0"/>
    <w:rsid w:val="00471990"/>
    <w:rsid w:val="00480795"/>
    <w:rsid w:val="00487790"/>
    <w:rsid w:val="00494985"/>
    <w:rsid w:val="00494E37"/>
    <w:rsid w:val="004E25D7"/>
    <w:rsid w:val="005007AC"/>
    <w:rsid w:val="00501542"/>
    <w:rsid w:val="00501697"/>
    <w:rsid w:val="00552D4C"/>
    <w:rsid w:val="00554463"/>
    <w:rsid w:val="00573D89"/>
    <w:rsid w:val="005F705E"/>
    <w:rsid w:val="0063131B"/>
    <w:rsid w:val="0065156D"/>
    <w:rsid w:val="006532CB"/>
    <w:rsid w:val="00676D6A"/>
    <w:rsid w:val="006B283C"/>
    <w:rsid w:val="006C380A"/>
    <w:rsid w:val="006D7E40"/>
    <w:rsid w:val="00712CBB"/>
    <w:rsid w:val="0073630A"/>
    <w:rsid w:val="00737905"/>
    <w:rsid w:val="00737CC6"/>
    <w:rsid w:val="00762EE6"/>
    <w:rsid w:val="00765625"/>
    <w:rsid w:val="007B4173"/>
    <w:rsid w:val="007C5151"/>
    <w:rsid w:val="007D0290"/>
    <w:rsid w:val="00863A33"/>
    <w:rsid w:val="008906A1"/>
    <w:rsid w:val="008B1C69"/>
    <w:rsid w:val="008C108C"/>
    <w:rsid w:val="009323E8"/>
    <w:rsid w:val="009531F0"/>
    <w:rsid w:val="009B3526"/>
    <w:rsid w:val="009E5B3C"/>
    <w:rsid w:val="00A71029"/>
    <w:rsid w:val="00A73A64"/>
    <w:rsid w:val="00A91DA5"/>
    <w:rsid w:val="00A953C0"/>
    <w:rsid w:val="00AC681A"/>
    <w:rsid w:val="00AD6A74"/>
    <w:rsid w:val="00B15585"/>
    <w:rsid w:val="00B50457"/>
    <w:rsid w:val="00B75ABE"/>
    <w:rsid w:val="00BA2E0C"/>
    <w:rsid w:val="00BA3723"/>
    <w:rsid w:val="00BC328A"/>
    <w:rsid w:val="00BD2334"/>
    <w:rsid w:val="00C00CD1"/>
    <w:rsid w:val="00C41B83"/>
    <w:rsid w:val="00C8713F"/>
    <w:rsid w:val="00C93A71"/>
    <w:rsid w:val="00CA5FAD"/>
    <w:rsid w:val="00CD13F8"/>
    <w:rsid w:val="00CD40A1"/>
    <w:rsid w:val="00CE7266"/>
    <w:rsid w:val="00D130DB"/>
    <w:rsid w:val="00D26BB7"/>
    <w:rsid w:val="00D94700"/>
    <w:rsid w:val="00DA3C36"/>
    <w:rsid w:val="00DC3ECF"/>
    <w:rsid w:val="00E005FA"/>
    <w:rsid w:val="00E04520"/>
    <w:rsid w:val="00E47F30"/>
    <w:rsid w:val="00E76BB6"/>
    <w:rsid w:val="00E8545E"/>
    <w:rsid w:val="00EB615D"/>
    <w:rsid w:val="00F207A6"/>
    <w:rsid w:val="00F2159F"/>
    <w:rsid w:val="00F27031"/>
    <w:rsid w:val="00F521D7"/>
    <w:rsid w:val="00FB6013"/>
    <w:rsid w:val="00FC336A"/>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C235-0327-4E36-BF4E-B05DCC3E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2025-03-10T09:08:00Z</dcterms:created>
  <dcterms:modified xsi:type="dcterms:W3CDTF">2025-03-10T09:09:00Z</dcterms:modified>
</cp:coreProperties>
</file>