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7302" w14:textId="77777777"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4E1AE433"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4118"/>
        <w:gridCol w:w="840"/>
        <w:gridCol w:w="2232"/>
      </w:tblGrid>
      <w:tr w:rsidR="005F705E" w:rsidRPr="00F207A6" w14:paraId="625FB4F0" w14:textId="77777777" w:rsidTr="00025D06">
        <w:trPr>
          <w:trHeight w:val="300"/>
        </w:trPr>
        <w:tc>
          <w:tcPr>
            <w:tcW w:w="780" w:type="dxa"/>
            <w:vAlign w:val="center"/>
          </w:tcPr>
          <w:p w14:paraId="78B15583" w14:textId="77777777"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14:paraId="462A6C63" w14:textId="6F36134C" w:rsidR="005F705E" w:rsidRPr="0079643D" w:rsidRDefault="00E04395" w:rsidP="00B15585">
            <w:pPr>
              <w:ind w:left="6"/>
              <w:jc w:val="left"/>
              <w:rPr>
                <w:rFonts w:ascii="ＭＳ ゴシック" w:eastAsia="ＭＳ ゴシック" w:hAnsi="ＭＳ ゴシック"/>
                <w:color w:val="000000"/>
                <w:sz w:val="20"/>
                <w:szCs w:val="20"/>
              </w:rPr>
            </w:pPr>
            <w:proofErr w:type="spellStart"/>
            <w:r>
              <w:rPr>
                <w:rFonts w:ascii="ＭＳ ゴシック" w:eastAsia="ＭＳ ゴシック" w:hAnsi="ＭＳ ゴシック" w:hint="eastAsia"/>
                <w:color w:val="000000"/>
                <w:sz w:val="20"/>
                <w:szCs w:val="20"/>
              </w:rPr>
              <w:t>R</w:t>
            </w:r>
            <w:r>
              <w:rPr>
                <w:rFonts w:ascii="ＭＳ ゴシック" w:eastAsia="ＭＳ ゴシック" w:hAnsi="ＭＳ ゴシック"/>
                <w:color w:val="000000"/>
                <w:sz w:val="20"/>
                <w:szCs w:val="20"/>
              </w:rPr>
              <w:t>ead&amp;Think</w:t>
            </w:r>
            <w:proofErr w:type="spellEnd"/>
            <w:r>
              <w:rPr>
                <w:rFonts w:ascii="ＭＳ ゴシック" w:eastAsia="ＭＳ ゴシック" w:hAnsi="ＭＳ ゴシック"/>
                <w:color w:val="000000"/>
                <w:sz w:val="20"/>
                <w:szCs w:val="20"/>
              </w:rPr>
              <w:t xml:space="preserve"> </w:t>
            </w:r>
            <w:r w:rsidR="00E77C9C" w:rsidRPr="0079643D">
              <w:rPr>
                <w:rFonts w:ascii="ＭＳ ゴシック" w:eastAsia="ＭＳ ゴシック" w:hAnsi="ＭＳ ゴシック" w:hint="eastAsia"/>
                <w:color w:val="000000"/>
                <w:sz w:val="20"/>
                <w:szCs w:val="20"/>
              </w:rPr>
              <w:t>歴史総合</w:t>
            </w:r>
          </w:p>
        </w:tc>
        <w:tc>
          <w:tcPr>
            <w:tcW w:w="850" w:type="dxa"/>
            <w:vAlign w:val="center"/>
          </w:tcPr>
          <w:p w14:paraId="648CFE16" w14:textId="77777777"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0FFC6FF5" w14:textId="3915045D"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E77C9C">
              <w:rPr>
                <w:rFonts w:ascii="ＭＳ ゴシック" w:eastAsia="ＭＳ ゴシック" w:hAnsi="ＭＳ ゴシック" w:hint="eastAsia"/>
                <w:sz w:val="20"/>
                <w:szCs w:val="20"/>
              </w:rPr>
              <w:t>歴総</w:t>
            </w:r>
            <w:r w:rsidR="00E04395">
              <w:rPr>
                <w:rFonts w:ascii="ＭＳ ゴシック" w:eastAsia="ＭＳ ゴシック" w:hAnsi="ＭＳ ゴシック" w:hint="eastAsia"/>
                <w:sz w:val="20"/>
                <w:szCs w:val="20"/>
              </w:rPr>
              <w:t>0</w:t>
            </w:r>
            <w:r w:rsidR="00E04395">
              <w:rPr>
                <w:rFonts w:ascii="ＭＳ ゴシック" w:eastAsia="ＭＳ ゴシック" w:hAnsi="ＭＳ ゴシック"/>
                <w:sz w:val="20"/>
                <w:szCs w:val="20"/>
              </w:rPr>
              <w:t>02-902</w:t>
            </w:r>
          </w:p>
        </w:tc>
      </w:tr>
    </w:tbl>
    <w:p w14:paraId="0CAD381A" w14:textId="77777777" w:rsidR="005F705E" w:rsidRDefault="005F705E" w:rsidP="005F705E">
      <w:pPr>
        <w:autoSpaceDE w:val="0"/>
        <w:autoSpaceDN w:val="0"/>
        <w:ind w:right="420"/>
        <w:jc w:val="left"/>
        <w:rPr>
          <w:rFonts w:ascii="ＭＳ Ｐゴシック" w:eastAsia="ＭＳ Ｐゴシック" w:hAnsi="ＭＳ Ｐゴシック"/>
          <w:sz w:val="20"/>
          <w:szCs w:val="20"/>
        </w:rPr>
      </w:pPr>
    </w:p>
    <w:p w14:paraId="6C4DF9E9" w14:textId="77777777" w:rsidR="00DA05A2" w:rsidRPr="00F207A6" w:rsidRDefault="00DA05A2"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14:paraId="1356BB95" w14:textId="77777777" w:rsidTr="00B50457">
        <w:trPr>
          <w:tblHeader/>
        </w:trPr>
        <w:tc>
          <w:tcPr>
            <w:tcW w:w="1985" w:type="dxa"/>
            <w:vAlign w:val="center"/>
          </w:tcPr>
          <w:p w14:paraId="06794FE4" w14:textId="77777777"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14:paraId="76FA9532" w14:textId="77777777"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14:paraId="063AA849" w14:textId="77777777"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77C9C" w:rsidRPr="000F3935" w14:paraId="7AF86959" w14:textId="77777777" w:rsidTr="00FC336A">
        <w:trPr>
          <w:trHeight w:val="234"/>
        </w:trPr>
        <w:tc>
          <w:tcPr>
            <w:tcW w:w="1985" w:type="dxa"/>
          </w:tcPr>
          <w:p w14:paraId="01670C6A"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14:paraId="6953E458"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14:paraId="526BF9C2"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14:paraId="13595B19" w14:textId="2AFA8A38" w:rsidR="00E77C9C"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世界とその中における日本の近現代の歴史の変化を</w:t>
            </w:r>
            <w:r w:rsidR="00473AE8">
              <w:rPr>
                <w:rFonts w:ascii="ＭＳ 明朝" w:eastAsia="ＭＳ 明朝" w:hAnsi="ＭＳ 明朝" w:hint="eastAsia"/>
                <w:sz w:val="20"/>
                <w:szCs w:val="20"/>
              </w:rPr>
              <w:t>、</w:t>
            </w:r>
            <w:r>
              <w:rPr>
                <w:rFonts w:ascii="ＭＳ 明朝" w:eastAsia="ＭＳ 明朝" w:hAnsi="ＭＳ 明朝" w:hint="eastAsia"/>
                <w:sz w:val="20"/>
                <w:szCs w:val="20"/>
              </w:rPr>
              <w:t>様々な資料を活用し</w:t>
            </w:r>
            <w:r w:rsidR="00473AE8">
              <w:rPr>
                <w:rFonts w:ascii="ＭＳ 明朝" w:eastAsia="ＭＳ 明朝" w:hAnsi="ＭＳ 明朝" w:hint="eastAsia"/>
                <w:sz w:val="20"/>
                <w:szCs w:val="20"/>
              </w:rPr>
              <w:t>、</w:t>
            </w:r>
            <w:r>
              <w:rPr>
                <w:rFonts w:ascii="ＭＳ 明朝" w:eastAsia="ＭＳ 明朝" w:hAnsi="ＭＳ 明朝" w:hint="eastAsia"/>
                <w:sz w:val="20"/>
                <w:szCs w:val="20"/>
              </w:rPr>
              <w:t>多面的・多角的に</w:t>
            </w:r>
            <w:r w:rsidRPr="001E41B9">
              <w:rPr>
                <w:rFonts w:ascii="ＭＳ 明朝" w:eastAsia="ＭＳ 明朝" w:hAnsi="ＭＳ 明朝" w:hint="eastAsia"/>
                <w:sz w:val="20"/>
                <w:szCs w:val="20"/>
              </w:rPr>
              <w:t>考察できる内容が適切に取り上げられている。</w:t>
            </w:r>
          </w:p>
          <w:p w14:paraId="66089CD4" w14:textId="45C5BAAD" w:rsidR="00E77C9C" w:rsidRPr="00B37EE7"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各節や各項の冒頭に学習課題の事例を提示しており</w:t>
            </w:r>
            <w:r w:rsidR="00473AE8">
              <w:rPr>
                <w:rFonts w:ascii="ＭＳ 明朝" w:eastAsia="ＭＳ 明朝" w:hAnsi="ＭＳ 明朝" w:hint="eastAsia"/>
                <w:sz w:val="20"/>
                <w:szCs w:val="20"/>
              </w:rPr>
              <w:t>、</w:t>
            </w:r>
            <w:r>
              <w:rPr>
                <w:rFonts w:ascii="ＭＳ 明朝" w:eastAsia="ＭＳ 明朝" w:hAnsi="ＭＳ 明朝" w:hint="eastAsia"/>
                <w:sz w:val="20"/>
                <w:szCs w:val="20"/>
              </w:rPr>
              <w:t>課題意識を持って学習に取り組めるような工夫がなされている。</w:t>
            </w:r>
          </w:p>
          <w:p w14:paraId="73756D8B" w14:textId="379EB305" w:rsidR="00E77C9C" w:rsidRPr="000F3935" w:rsidRDefault="00E77C9C" w:rsidP="00E77C9C">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◯基礎的な歴史事象が取り上げられ</w:t>
            </w:r>
            <w:r w:rsidR="00473AE8">
              <w:rPr>
                <w:rFonts w:ascii="ＭＳ 明朝" w:eastAsia="ＭＳ 明朝" w:hAnsi="ＭＳ 明朝" w:hint="eastAsia"/>
                <w:sz w:val="20"/>
                <w:szCs w:val="20"/>
              </w:rPr>
              <w:t>、</w:t>
            </w:r>
            <w:r w:rsidRPr="001E41B9">
              <w:rPr>
                <w:rFonts w:ascii="ＭＳ 明朝" w:eastAsia="ＭＳ 明朝" w:hAnsi="ＭＳ 明朝" w:hint="eastAsia"/>
                <w:sz w:val="20"/>
                <w:szCs w:val="20"/>
              </w:rPr>
              <w:t>簡明な記述で示されており</w:t>
            </w:r>
            <w:r w:rsidR="00473AE8">
              <w:rPr>
                <w:rFonts w:ascii="ＭＳ 明朝" w:eastAsia="ＭＳ 明朝" w:hAnsi="ＭＳ 明朝" w:hint="eastAsia"/>
                <w:sz w:val="20"/>
                <w:szCs w:val="20"/>
              </w:rPr>
              <w:t>、</w:t>
            </w:r>
            <w:r w:rsidRPr="001E41B9">
              <w:rPr>
                <w:rFonts w:ascii="ＭＳ 明朝" w:eastAsia="ＭＳ 明朝" w:hAnsi="ＭＳ 明朝" w:hint="eastAsia"/>
                <w:sz w:val="20"/>
                <w:szCs w:val="20"/>
              </w:rPr>
              <w:t>基本的な事項を習得しやすいように配慮されている。</w:t>
            </w:r>
          </w:p>
        </w:tc>
      </w:tr>
      <w:tr w:rsidR="00E77C9C" w:rsidRPr="000F3935" w14:paraId="0E87BA53" w14:textId="77777777" w:rsidTr="00B50457">
        <w:tc>
          <w:tcPr>
            <w:tcW w:w="1985" w:type="dxa"/>
          </w:tcPr>
          <w:p w14:paraId="26EE8547"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14:paraId="277BB7B5" w14:textId="565A6108"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14:paraId="50435619" w14:textId="6A2BFB3B"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14:paraId="424AD187"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14:paraId="4B54F6B8"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14:paraId="1589C00C" w14:textId="56350A92"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科目の導入「歴史の扉　歴史と私たち」および各章の1節や4節などの学習活動を通して</w:t>
            </w:r>
            <w:r w:rsidR="00473AE8">
              <w:rPr>
                <w:rFonts w:ascii="ＭＳ 明朝" w:eastAsia="ＭＳ 明朝" w:hAnsi="ＭＳ 明朝" w:hint="eastAsia"/>
                <w:sz w:val="20"/>
                <w:szCs w:val="20"/>
              </w:rPr>
              <w:t>、</w:t>
            </w:r>
            <w:r>
              <w:rPr>
                <w:rFonts w:ascii="ＭＳ 明朝" w:eastAsia="ＭＳ 明朝" w:hAnsi="ＭＳ 明朝" w:hint="eastAsia"/>
                <w:sz w:val="20"/>
                <w:szCs w:val="20"/>
              </w:rPr>
              <w:t>具体的なテーマや</w:t>
            </w:r>
            <w:r w:rsidRPr="00612A1F">
              <w:rPr>
                <w:rFonts w:ascii="ＭＳ 明朝" w:eastAsia="ＭＳ 明朝" w:hAnsi="ＭＳ 明朝" w:hint="eastAsia"/>
                <w:sz w:val="20"/>
                <w:szCs w:val="20"/>
              </w:rPr>
              <w:t>現代の諸課題から現在と歴史のつながりに関心を</w:t>
            </w:r>
            <w:r>
              <w:rPr>
                <w:rFonts w:ascii="ＭＳ 明朝" w:eastAsia="ＭＳ 明朝" w:hAnsi="ＭＳ 明朝" w:hint="eastAsia"/>
                <w:sz w:val="20"/>
                <w:szCs w:val="20"/>
              </w:rPr>
              <w:t>持ち</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歴史を学ぶ意義に気づくことができる工夫がなされている。</w:t>
            </w:r>
          </w:p>
          <w:p w14:paraId="60993F9C" w14:textId="17666C68"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必要となる事項を網羅しつつも</w:t>
            </w:r>
            <w:r w:rsidR="00473AE8">
              <w:rPr>
                <w:rFonts w:ascii="ＭＳ 明朝" w:eastAsia="ＭＳ 明朝" w:hAnsi="ＭＳ 明朝" w:hint="eastAsia"/>
                <w:sz w:val="20"/>
                <w:szCs w:val="20"/>
              </w:rPr>
              <w:t>、</w:t>
            </w:r>
            <w:r>
              <w:rPr>
                <w:rFonts w:ascii="ＭＳ 明朝" w:eastAsia="ＭＳ 明朝" w:hAnsi="ＭＳ 明朝" w:hint="eastAsia"/>
                <w:sz w:val="20"/>
                <w:szCs w:val="20"/>
              </w:rPr>
              <w:t>叙述や資料提示の工夫により簡明化が図られている。全体としてバランスのとれた配列・分量であり</w:t>
            </w:r>
            <w:r w:rsidR="00473AE8">
              <w:rPr>
                <w:rFonts w:ascii="ＭＳ 明朝" w:eastAsia="ＭＳ 明朝" w:hAnsi="ＭＳ 明朝" w:hint="eastAsia"/>
                <w:sz w:val="20"/>
                <w:szCs w:val="20"/>
              </w:rPr>
              <w:t>、</w:t>
            </w:r>
            <w:r>
              <w:rPr>
                <w:rFonts w:ascii="ＭＳ 明朝" w:eastAsia="ＭＳ 明朝" w:hAnsi="ＭＳ 明朝" w:hint="eastAsia"/>
                <w:sz w:val="20"/>
                <w:szCs w:val="20"/>
              </w:rPr>
              <w:t>歴史的な見方や考え方を培ううえで効果的な構成である。</w:t>
            </w:r>
          </w:p>
          <w:p w14:paraId="722A26CD" w14:textId="3731F3F8"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中学校で学習した内容を概観する扉ページなどを設置し</w:t>
            </w:r>
            <w:r w:rsidR="00473AE8">
              <w:rPr>
                <w:rFonts w:ascii="ＭＳ 明朝" w:eastAsia="ＭＳ 明朝" w:hAnsi="ＭＳ 明朝" w:hint="eastAsia"/>
                <w:sz w:val="20"/>
                <w:szCs w:val="20"/>
              </w:rPr>
              <w:t>、</w:t>
            </w:r>
            <w:r>
              <w:rPr>
                <w:rFonts w:ascii="ＭＳ 明朝" w:eastAsia="ＭＳ 明朝" w:hAnsi="ＭＳ 明朝" w:hint="eastAsia"/>
                <w:sz w:val="20"/>
                <w:szCs w:val="20"/>
              </w:rPr>
              <w:t>各所で中学校までの学習との連続性を持たせている</w:t>
            </w:r>
            <w:r w:rsidRPr="00612A1F">
              <w:rPr>
                <w:rFonts w:ascii="ＭＳ 明朝" w:eastAsia="ＭＳ 明朝" w:hAnsi="ＭＳ 明朝" w:hint="eastAsia"/>
                <w:sz w:val="20"/>
                <w:szCs w:val="20"/>
              </w:rPr>
              <w:t>。</w:t>
            </w:r>
          </w:p>
          <w:p w14:paraId="561F6C39" w14:textId="7C18E6BD" w:rsidR="00E77C9C" w:rsidRPr="000F3935"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各種資料</w:t>
            </w:r>
            <w:r w:rsidR="00473AE8">
              <w:rPr>
                <w:rFonts w:ascii="ＭＳ 明朝" w:eastAsia="ＭＳ 明朝" w:hAnsi="ＭＳ 明朝" w:hint="eastAsia"/>
                <w:sz w:val="20"/>
                <w:szCs w:val="20"/>
              </w:rPr>
              <w:t>、</w:t>
            </w:r>
            <w:r>
              <w:rPr>
                <w:rFonts w:ascii="ＭＳ 明朝" w:eastAsia="ＭＳ 明朝" w:hAnsi="ＭＳ 明朝" w:hint="eastAsia"/>
                <w:sz w:val="20"/>
                <w:szCs w:val="20"/>
              </w:rPr>
              <w:t>コラム</w:t>
            </w:r>
            <w:r w:rsidR="00473AE8">
              <w:rPr>
                <w:rFonts w:ascii="ＭＳ 明朝" w:eastAsia="ＭＳ 明朝" w:hAnsi="ＭＳ 明朝" w:hint="eastAsia"/>
                <w:sz w:val="20"/>
                <w:szCs w:val="20"/>
              </w:rPr>
              <w:t>、</w:t>
            </w:r>
            <w:r>
              <w:rPr>
                <w:rFonts w:ascii="ＭＳ 明朝" w:eastAsia="ＭＳ 明朝" w:hAnsi="ＭＳ 明朝" w:hint="eastAsia"/>
                <w:sz w:val="20"/>
                <w:szCs w:val="20"/>
              </w:rPr>
              <w:t>特設ページが充実しており</w:t>
            </w:r>
            <w:r w:rsidR="00473AE8">
              <w:rPr>
                <w:rFonts w:ascii="ＭＳ 明朝" w:eastAsia="ＭＳ 明朝" w:hAnsi="ＭＳ 明朝" w:hint="eastAsia"/>
                <w:sz w:val="20"/>
                <w:szCs w:val="20"/>
              </w:rPr>
              <w:t>、</w:t>
            </w:r>
            <w:r>
              <w:rPr>
                <w:rFonts w:ascii="ＭＳ 明朝" w:eastAsia="ＭＳ 明朝" w:hAnsi="ＭＳ 明朝" w:hint="eastAsia"/>
                <w:sz w:val="20"/>
                <w:szCs w:val="20"/>
              </w:rPr>
              <w:t>弾力的な取り扱いができるような配慮がなされている</w:t>
            </w:r>
            <w:r w:rsidRPr="00612A1F">
              <w:rPr>
                <w:rFonts w:ascii="ＭＳ 明朝" w:eastAsia="ＭＳ 明朝" w:hAnsi="ＭＳ 明朝" w:hint="eastAsia"/>
                <w:sz w:val="20"/>
                <w:szCs w:val="20"/>
              </w:rPr>
              <w:t>。</w:t>
            </w:r>
          </w:p>
        </w:tc>
      </w:tr>
      <w:tr w:rsidR="00E77C9C" w:rsidRPr="000F3935" w14:paraId="310D30FB" w14:textId="77777777" w:rsidTr="00B50457">
        <w:tc>
          <w:tcPr>
            <w:tcW w:w="1985" w:type="dxa"/>
          </w:tcPr>
          <w:p w14:paraId="0803C00C"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14:paraId="12EB4130"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14:paraId="66308416"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14:paraId="6E481BED" w14:textId="77777777"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14:paraId="5F644E6E"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14:paraId="2621AB34" w14:textId="0C4C1E4F"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◯資料性の高い写真・図版が随所に掲載されており</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生徒の興味・関心を喚起し</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歴史事象の理解を促す点からも極めて効果的である。</w:t>
            </w:r>
          </w:p>
          <w:p w14:paraId="74B1AA2D" w14:textId="2DA60039"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◯多様なコラムおよび「</w:t>
            </w:r>
            <w:r w:rsidR="00E04395">
              <w:rPr>
                <w:rFonts w:ascii="ＭＳ 明朝" w:eastAsia="ＭＳ 明朝" w:hAnsi="ＭＳ 明朝" w:hint="eastAsia"/>
                <w:sz w:val="20"/>
                <w:szCs w:val="20"/>
              </w:rPr>
              <w:t>1</w:t>
            </w:r>
            <w:r w:rsidR="00E04395">
              <w:rPr>
                <w:rFonts w:ascii="ＭＳ 明朝" w:eastAsia="ＭＳ 明朝" w:hAnsi="ＭＳ 明朝"/>
                <w:sz w:val="20"/>
                <w:szCs w:val="20"/>
              </w:rPr>
              <w:t>8</w:t>
            </w:r>
            <w:r w:rsidR="00E04395">
              <w:rPr>
                <w:rFonts w:ascii="ＭＳ 明朝" w:eastAsia="ＭＳ 明朝" w:hAnsi="ＭＳ 明朝" w:hint="eastAsia"/>
                <w:sz w:val="20"/>
                <w:szCs w:val="20"/>
              </w:rPr>
              <w:t>世紀までのさまざまな世界</w:t>
            </w:r>
            <w:r>
              <w:rPr>
                <w:rFonts w:ascii="ＭＳ 明朝" w:eastAsia="ＭＳ 明朝" w:hAnsi="ＭＳ 明朝" w:hint="eastAsia"/>
                <w:sz w:val="20"/>
                <w:szCs w:val="20"/>
              </w:rPr>
              <w:t>」「歴史のまなざし」「地域の歴史</w:t>
            </w:r>
            <w:r w:rsidRPr="00612A1F">
              <w:rPr>
                <w:rFonts w:ascii="ＭＳ 明朝" w:eastAsia="ＭＳ 明朝" w:hAnsi="ＭＳ 明朝" w:hint="eastAsia"/>
                <w:sz w:val="20"/>
                <w:szCs w:val="20"/>
              </w:rPr>
              <w:t>」など</w:t>
            </w:r>
            <w:r>
              <w:rPr>
                <w:rFonts w:ascii="ＭＳ 明朝" w:eastAsia="ＭＳ 明朝" w:hAnsi="ＭＳ 明朝" w:hint="eastAsia"/>
                <w:sz w:val="20"/>
                <w:szCs w:val="20"/>
              </w:rPr>
              <w:t>の</w:t>
            </w:r>
            <w:r w:rsidRPr="00612A1F">
              <w:rPr>
                <w:rFonts w:ascii="ＭＳ 明朝" w:eastAsia="ＭＳ 明朝" w:hAnsi="ＭＳ 明朝" w:hint="eastAsia"/>
                <w:sz w:val="20"/>
                <w:szCs w:val="20"/>
              </w:rPr>
              <w:t>特設ページが設けられており</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生徒の学習意欲を高め</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豊かな歴史的思考力を養う工夫が施されている。</w:t>
            </w:r>
          </w:p>
          <w:p w14:paraId="5EDA7AB4" w14:textId="018E5DA2" w:rsidR="00E77C9C" w:rsidRPr="00612A1F"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◯用語・記号は統一されており</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漢字のルビも適切に付されている。</w:t>
            </w:r>
          </w:p>
          <w:p w14:paraId="7EA23D0E" w14:textId="23F39438" w:rsidR="00E77C9C" w:rsidRPr="00D26BB7" w:rsidRDefault="00E77C9C" w:rsidP="00E77C9C">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◯指導書や</w:t>
            </w:r>
            <w:r w:rsidRPr="00290D29">
              <w:rPr>
                <w:rFonts w:ascii="ＭＳ 明朝" w:eastAsia="ＭＳ 明朝" w:hAnsi="ＭＳ 明朝" w:hint="eastAsia"/>
                <w:sz w:val="20"/>
                <w:szCs w:val="20"/>
              </w:rPr>
              <w:t>指導用DVD-ROM</w:t>
            </w:r>
            <w:r w:rsidR="00473AE8">
              <w:rPr>
                <w:rFonts w:ascii="ＭＳ 明朝" w:eastAsia="ＭＳ 明朝" w:hAnsi="ＭＳ 明朝" w:hint="eastAsia"/>
                <w:sz w:val="20"/>
                <w:szCs w:val="20"/>
              </w:rPr>
              <w:t>、</w:t>
            </w:r>
            <w:r w:rsidRPr="00290D29">
              <w:rPr>
                <w:rFonts w:ascii="ＭＳ 明朝" w:eastAsia="ＭＳ 明朝" w:hAnsi="ＭＳ 明朝" w:hint="eastAsia"/>
                <w:sz w:val="20"/>
                <w:szCs w:val="20"/>
              </w:rPr>
              <w:t>および準拠</w:t>
            </w:r>
            <w:r w:rsidRPr="00612A1F">
              <w:rPr>
                <w:rFonts w:ascii="ＭＳ 明朝" w:eastAsia="ＭＳ 明朝" w:hAnsi="ＭＳ 明朝" w:hint="eastAsia"/>
                <w:sz w:val="20"/>
                <w:szCs w:val="20"/>
              </w:rPr>
              <w:t>教材が準備されており</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教科書との併用によって</w:t>
            </w:r>
            <w:r w:rsidR="00473AE8">
              <w:rPr>
                <w:rFonts w:ascii="ＭＳ 明朝" w:eastAsia="ＭＳ 明朝" w:hAnsi="ＭＳ 明朝" w:hint="eastAsia"/>
                <w:sz w:val="20"/>
                <w:szCs w:val="20"/>
              </w:rPr>
              <w:t>、</w:t>
            </w:r>
            <w:r w:rsidRPr="00612A1F">
              <w:rPr>
                <w:rFonts w:ascii="ＭＳ 明朝" w:eastAsia="ＭＳ 明朝" w:hAnsi="ＭＳ 明朝" w:hint="eastAsia"/>
                <w:sz w:val="20"/>
                <w:szCs w:val="20"/>
              </w:rPr>
              <w:t>より学習効果を高めることができる。</w:t>
            </w:r>
          </w:p>
        </w:tc>
      </w:tr>
      <w:tr w:rsidR="00E77C9C" w:rsidRPr="000F3935" w14:paraId="3B566A3D" w14:textId="77777777" w:rsidTr="00B50457">
        <w:tc>
          <w:tcPr>
            <w:tcW w:w="1985" w:type="dxa"/>
          </w:tcPr>
          <w:p w14:paraId="621CE06D"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14:paraId="08DAAE3C" w14:textId="525339ED" w:rsidR="00E77C9C" w:rsidRPr="00C41B83"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行間</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14:paraId="485AF835" w14:textId="77777777"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14:paraId="64F0DCDF" w14:textId="20AFB109"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◯活字の大きさや配置</w:t>
            </w:r>
            <w:r w:rsidR="00473AE8">
              <w:rPr>
                <w:rFonts w:ascii="ＭＳ 明朝" w:eastAsia="ＭＳ 明朝" w:hAnsi="ＭＳ 明朝" w:hint="eastAsia"/>
                <w:sz w:val="20"/>
                <w:szCs w:val="20"/>
              </w:rPr>
              <w:t>、</w:t>
            </w:r>
            <w:r w:rsidRPr="00617757">
              <w:rPr>
                <w:rFonts w:ascii="ＭＳ 明朝" w:eastAsia="ＭＳ 明朝" w:hAnsi="ＭＳ 明朝" w:hint="eastAsia"/>
                <w:sz w:val="20"/>
                <w:szCs w:val="20"/>
              </w:rPr>
              <w:t>用紙の色などは読みやすく配慮されており</w:t>
            </w:r>
            <w:r w:rsidR="00473AE8">
              <w:rPr>
                <w:rFonts w:ascii="ＭＳ 明朝" w:eastAsia="ＭＳ 明朝" w:hAnsi="ＭＳ 明朝" w:hint="eastAsia"/>
                <w:sz w:val="20"/>
                <w:szCs w:val="20"/>
              </w:rPr>
              <w:t>、</w:t>
            </w:r>
            <w:r w:rsidRPr="00617757">
              <w:rPr>
                <w:rFonts w:ascii="ＭＳ 明朝" w:eastAsia="ＭＳ 明朝" w:hAnsi="ＭＳ 明朝" w:hint="eastAsia"/>
                <w:sz w:val="20"/>
                <w:szCs w:val="20"/>
              </w:rPr>
              <w:t>写真・図版も大きく鮮明で効果的である。製本も堅牢である。</w:t>
            </w:r>
          </w:p>
          <w:p w14:paraId="07564C21" w14:textId="788A4DEE" w:rsidR="00E77C9C" w:rsidRPr="00617757"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◯本文の用紙には再生紙と植物油インクが使用されており</w:t>
            </w:r>
            <w:r w:rsidR="00473AE8">
              <w:rPr>
                <w:rFonts w:ascii="ＭＳ 明朝" w:eastAsia="ＭＳ 明朝" w:hAnsi="ＭＳ 明朝" w:hint="eastAsia"/>
                <w:sz w:val="20"/>
                <w:szCs w:val="20"/>
              </w:rPr>
              <w:t>、</w:t>
            </w:r>
            <w:r w:rsidRPr="00617757">
              <w:rPr>
                <w:rFonts w:ascii="ＭＳ 明朝" w:eastAsia="ＭＳ 明朝" w:hAnsi="ＭＳ 明朝" w:hint="eastAsia"/>
                <w:sz w:val="20"/>
                <w:szCs w:val="20"/>
              </w:rPr>
              <w:t>地球環境や資源に及ぼす影響が考慮されている。</w:t>
            </w:r>
          </w:p>
          <w:p w14:paraId="14B33DCC" w14:textId="752B05FC" w:rsidR="00E77C9C" w:rsidRPr="000F3935" w:rsidRDefault="00E77C9C" w:rsidP="00E77C9C">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◯図の色使いなどは色覚特性への配慮を含むユニバーサルデザインとなっており</w:t>
            </w:r>
            <w:r w:rsidR="00473AE8">
              <w:rPr>
                <w:rFonts w:ascii="ＭＳ 明朝" w:eastAsia="ＭＳ 明朝" w:hAnsi="ＭＳ 明朝" w:hint="eastAsia"/>
                <w:sz w:val="20"/>
                <w:szCs w:val="20"/>
              </w:rPr>
              <w:t>、</w:t>
            </w:r>
            <w:r w:rsidRPr="00617757">
              <w:rPr>
                <w:rFonts w:ascii="ＭＳ 明朝" w:eastAsia="ＭＳ 明朝" w:hAnsi="ＭＳ 明朝" w:hint="eastAsia"/>
                <w:sz w:val="20"/>
                <w:szCs w:val="20"/>
              </w:rPr>
              <w:t>配色が工夫され</w:t>
            </w:r>
            <w:r w:rsidR="00473AE8">
              <w:rPr>
                <w:rFonts w:ascii="ＭＳ 明朝" w:eastAsia="ＭＳ 明朝" w:hAnsi="ＭＳ 明朝" w:hint="eastAsia"/>
                <w:sz w:val="20"/>
                <w:szCs w:val="20"/>
              </w:rPr>
              <w:t>、</w:t>
            </w:r>
            <w:r w:rsidRPr="00617757">
              <w:rPr>
                <w:rFonts w:ascii="ＭＳ 明朝" w:eastAsia="ＭＳ 明朝" w:hAnsi="ＭＳ 明朝" w:hint="eastAsia"/>
                <w:sz w:val="20"/>
                <w:szCs w:val="20"/>
              </w:rPr>
              <w:t>見やすい紙面になっている。</w:t>
            </w:r>
          </w:p>
        </w:tc>
      </w:tr>
      <w:tr w:rsidR="00E77C9C" w:rsidRPr="000F3935" w14:paraId="05B505A2" w14:textId="77777777" w:rsidTr="00B50457">
        <w:tc>
          <w:tcPr>
            <w:tcW w:w="1985" w:type="dxa"/>
          </w:tcPr>
          <w:p w14:paraId="7D3689A9" w14:textId="77777777"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14:paraId="304C20FD" w14:textId="7DDCCB58"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sidR="00473AE8">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9073" w:type="dxa"/>
          </w:tcPr>
          <w:p w14:paraId="739A68D7" w14:textId="173853A3" w:rsidR="00E77C9C" w:rsidRPr="000F3935" w:rsidRDefault="00E77C9C" w:rsidP="00E77C9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◯近現代史の流れや事象の背景などが丁寧に記述されており</w:t>
            </w:r>
            <w:r w:rsidR="00473AE8">
              <w:rPr>
                <w:rFonts w:ascii="ＭＳ 明朝" w:eastAsia="ＭＳ 明朝" w:hAnsi="ＭＳ 明朝" w:hint="eastAsia"/>
                <w:sz w:val="20"/>
                <w:szCs w:val="20"/>
              </w:rPr>
              <w:t>、</w:t>
            </w:r>
            <w:r>
              <w:rPr>
                <w:rFonts w:ascii="ＭＳ 明朝" w:eastAsia="ＭＳ 明朝" w:hAnsi="ＭＳ 明朝" w:hint="eastAsia"/>
                <w:sz w:val="20"/>
                <w:szCs w:val="20"/>
              </w:rPr>
              <w:t>理解を助けるための資料も適切に配されている。全体として内容・程度・分量などのバランスがとれ</w:t>
            </w:r>
            <w:r w:rsidR="00473AE8">
              <w:rPr>
                <w:rFonts w:ascii="ＭＳ 明朝" w:eastAsia="ＭＳ 明朝" w:hAnsi="ＭＳ 明朝" w:hint="eastAsia"/>
                <w:sz w:val="20"/>
                <w:szCs w:val="20"/>
              </w:rPr>
              <w:t>、</w:t>
            </w:r>
            <w:r>
              <w:rPr>
                <w:rFonts w:ascii="ＭＳ 明朝" w:eastAsia="ＭＳ 明朝" w:hAnsi="ＭＳ 明朝" w:hint="eastAsia"/>
                <w:sz w:val="20"/>
                <w:szCs w:val="20"/>
              </w:rPr>
              <w:t>配慮が行き届いた</w:t>
            </w:r>
            <w:r w:rsidR="00473AE8">
              <w:rPr>
                <w:rFonts w:ascii="ＭＳ 明朝" w:eastAsia="ＭＳ 明朝" w:hAnsi="ＭＳ 明朝" w:hint="eastAsia"/>
                <w:sz w:val="20"/>
                <w:szCs w:val="20"/>
              </w:rPr>
              <w:t>、</w:t>
            </w:r>
            <w:r>
              <w:rPr>
                <w:rFonts w:ascii="ＭＳ 明朝" w:eastAsia="ＭＳ 明朝" w:hAnsi="ＭＳ 明朝" w:hint="eastAsia"/>
                <w:sz w:val="20"/>
                <w:szCs w:val="20"/>
              </w:rPr>
              <w:t>授業展開が</w:t>
            </w:r>
            <w:r w:rsidRPr="005122C7">
              <w:rPr>
                <w:rFonts w:ascii="ＭＳ 明朝" w:eastAsia="ＭＳ 明朝" w:hAnsi="ＭＳ 明朝" w:hint="eastAsia"/>
                <w:sz w:val="20"/>
                <w:szCs w:val="20"/>
              </w:rPr>
              <w:t>しやすい教科書である。</w:t>
            </w:r>
          </w:p>
        </w:tc>
      </w:tr>
    </w:tbl>
    <w:p w14:paraId="0CA5BF58" w14:textId="087BE1DD"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sidR="00E04395">
        <w:rPr>
          <w:rFonts w:ascii="ＭＳ Ｐゴシック" w:eastAsia="ＭＳ Ｐゴシック" w:hAnsi="ＭＳ Ｐゴシック" w:hint="eastAsia"/>
          <w:sz w:val="20"/>
          <w:szCs w:val="20"/>
        </w:rPr>
        <w:t>8</w:t>
      </w:r>
      <w:r w:rsidR="00DA3C36" w:rsidRPr="00DA3C36">
        <w:rPr>
          <w:rFonts w:ascii="ＭＳ Ｐゴシック" w:eastAsia="ＭＳ Ｐゴシック" w:hAnsi="ＭＳ Ｐゴシック" w:hint="eastAsia"/>
          <w:sz w:val="20"/>
          <w:szCs w:val="20"/>
        </w:rPr>
        <w:t>年度用 高等学校教科書内容解説資料</w:t>
      </w:r>
    </w:p>
    <w:p w14:paraId="4DAA3BE1" w14:textId="77777777"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0140" w14:textId="77777777" w:rsidR="009F2CE4" w:rsidRDefault="009F2CE4">
      <w:r>
        <w:separator/>
      </w:r>
    </w:p>
  </w:endnote>
  <w:endnote w:type="continuationSeparator" w:id="0">
    <w:p w14:paraId="63070F9F" w14:textId="77777777" w:rsidR="009F2CE4" w:rsidRDefault="009F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F6E8" w14:textId="77777777" w:rsidR="009F2CE4" w:rsidRDefault="009F2CE4">
      <w:r>
        <w:separator/>
      </w:r>
    </w:p>
  </w:footnote>
  <w:footnote w:type="continuationSeparator" w:id="0">
    <w:p w14:paraId="3D53DFD5" w14:textId="77777777" w:rsidR="009F2CE4" w:rsidRDefault="009F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63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30"/>
    <w:rsid w:val="00001B7A"/>
    <w:rsid w:val="00025D06"/>
    <w:rsid w:val="000351B3"/>
    <w:rsid w:val="00072E03"/>
    <w:rsid w:val="00096F1E"/>
    <w:rsid w:val="000B43BA"/>
    <w:rsid w:val="000C4192"/>
    <w:rsid w:val="000E1FD6"/>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85BE2"/>
    <w:rsid w:val="003C2187"/>
    <w:rsid w:val="003D6F36"/>
    <w:rsid w:val="003E05F8"/>
    <w:rsid w:val="003E5BD7"/>
    <w:rsid w:val="004124AB"/>
    <w:rsid w:val="00414750"/>
    <w:rsid w:val="004306C0"/>
    <w:rsid w:val="00471990"/>
    <w:rsid w:val="00473AE8"/>
    <w:rsid w:val="00480795"/>
    <w:rsid w:val="00487790"/>
    <w:rsid w:val="004E25D7"/>
    <w:rsid w:val="005007AC"/>
    <w:rsid w:val="00501542"/>
    <w:rsid w:val="00501697"/>
    <w:rsid w:val="005F705E"/>
    <w:rsid w:val="0063131B"/>
    <w:rsid w:val="0065156D"/>
    <w:rsid w:val="006532CB"/>
    <w:rsid w:val="00676D6A"/>
    <w:rsid w:val="006B283C"/>
    <w:rsid w:val="006D7E40"/>
    <w:rsid w:val="00712CBB"/>
    <w:rsid w:val="0073630A"/>
    <w:rsid w:val="00737CC6"/>
    <w:rsid w:val="00762EE6"/>
    <w:rsid w:val="0079643D"/>
    <w:rsid w:val="007C5151"/>
    <w:rsid w:val="00863A33"/>
    <w:rsid w:val="008B1C69"/>
    <w:rsid w:val="00921B36"/>
    <w:rsid w:val="009323E8"/>
    <w:rsid w:val="009531F0"/>
    <w:rsid w:val="009B3526"/>
    <w:rsid w:val="009E5B3C"/>
    <w:rsid w:val="009F2CE4"/>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130DB"/>
    <w:rsid w:val="00D26BB7"/>
    <w:rsid w:val="00D94700"/>
    <w:rsid w:val="00DA05A2"/>
    <w:rsid w:val="00DA3C36"/>
    <w:rsid w:val="00DC3ECF"/>
    <w:rsid w:val="00E005FA"/>
    <w:rsid w:val="00E04395"/>
    <w:rsid w:val="00E04520"/>
    <w:rsid w:val="00E47F30"/>
    <w:rsid w:val="00E76BB6"/>
    <w:rsid w:val="00E77C9C"/>
    <w:rsid w:val="00E8545E"/>
    <w:rsid w:val="00EB615D"/>
    <w:rsid w:val="00F207A6"/>
    <w:rsid w:val="00F2159F"/>
    <w:rsid w:val="00F27031"/>
    <w:rsid w:val="00F521D7"/>
    <w:rsid w:val="00FB6013"/>
    <w:rsid w:val="00FC336A"/>
    <w:rsid w:val="00FD14C2"/>
    <w:rsid w:val="00FF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6F4EC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8269-D574-441D-9528-60E6BFFA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2021-04-21T02:05:00Z</dcterms:created>
  <dcterms:modified xsi:type="dcterms:W3CDTF">2025-03-26T05:33:00Z</dcterms:modified>
</cp:coreProperties>
</file>