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E31A1F" w:rsidRDefault="00E31A1F" w:rsidP="00B15585">
            <w:pPr>
              <w:ind w:left="6"/>
              <w:jc w:val="left"/>
              <w:rPr>
                <w:rFonts w:ascii="ＭＳ ゴシック" w:eastAsia="ＭＳ ゴシック" w:hAnsi="ＭＳ ゴシック"/>
                <w:color w:val="000000" w:themeColor="text1"/>
                <w:sz w:val="20"/>
                <w:szCs w:val="20"/>
              </w:rPr>
            </w:pPr>
            <w:r w:rsidRPr="00E31A1F">
              <w:rPr>
                <w:rFonts w:ascii="ＭＳ ゴシック" w:eastAsia="ＭＳ ゴシック" w:hAnsi="ＭＳ ゴシック" w:hint="eastAsia"/>
                <w:color w:val="000000" w:themeColor="text1"/>
                <w:sz w:val="20"/>
                <w:szCs w:val="20"/>
              </w:rPr>
              <w:t>地理総合</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FC336A" w:rsidP="00CE726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E31A1F">
              <w:rPr>
                <w:rFonts w:ascii="ＭＳ ゴシック" w:eastAsia="ＭＳ ゴシック" w:hAnsi="ＭＳ ゴシック" w:hint="eastAsia"/>
                <w:sz w:val="20"/>
                <w:szCs w:val="20"/>
              </w:rPr>
              <w:t>地総701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E32714" w:rsidRPr="000F3935" w:rsidTr="00FC336A">
        <w:trPr>
          <w:trHeight w:val="234"/>
        </w:trPr>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073" w:type="dxa"/>
          </w:tcPr>
          <w:p w:rsidR="00E32714" w:rsidRPr="00A2133C" w:rsidRDefault="00E32714" w:rsidP="00E32714">
            <w:pPr>
              <w:ind w:left="200" w:hangingChars="100" w:hanging="200"/>
              <w:rPr>
                <w:rFonts w:ascii="ＭＳ 明朝" w:eastAsia="ＭＳ 明朝" w:hAnsi="ＭＳ 明朝"/>
                <w:sz w:val="20"/>
                <w:szCs w:val="20"/>
              </w:rPr>
            </w:pPr>
            <w:r w:rsidRPr="00A2133C">
              <w:rPr>
                <w:rFonts w:ascii="ＭＳ 明朝" w:eastAsia="ＭＳ 明朝" w:hAnsi="ＭＳ 明朝" w:hint="eastAsia"/>
                <w:sz w:val="20"/>
                <w:szCs w:val="20"/>
              </w:rPr>
              <w:t>○</w:t>
            </w:r>
            <w:r>
              <w:rPr>
                <w:rFonts w:ascii="ＭＳ 明朝" w:eastAsia="ＭＳ 明朝" w:hAnsi="ＭＳ 明朝" w:hint="eastAsia"/>
                <w:sz w:val="20"/>
                <w:szCs w:val="20"/>
              </w:rPr>
              <w:t>社会的事象の</w:t>
            </w:r>
            <w:r w:rsidRPr="00A2133C">
              <w:rPr>
                <w:rFonts w:ascii="ＭＳ 明朝" w:eastAsia="ＭＳ 明朝" w:hAnsi="ＭＳ 明朝" w:hint="eastAsia"/>
                <w:sz w:val="20"/>
                <w:szCs w:val="20"/>
              </w:rPr>
              <w:t>地理的</w:t>
            </w:r>
            <w:r>
              <w:rPr>
                <w:rFonts w:ascii="ＭＳ 明朝" w:eastAsia="ＭＳ 明朝" w:hAnsi="ＭＳ 明朝" w:hint="eastAsia"/>
                <w:sz w:val="20"/>
                <w:szCs w:val="20"/>
              </w:rPr>
              <w:t>な</w:t>
            </w:r>
            <w:r w:rsidRPr="00A2133C">
              <w:rPr>
                <w:rFonts w:ascii="ＭＳ 明朝" w:eastAsia="ＭＳ 明朝" w:hAnsi="ＭＳ 明朝" w:hint="eastAsia"/>
                <w:sz w:val="20"/>
                <w:szCs w:val="20"/>
              </w:rPr>
              <w:t>見方・考え方を</w:t>
            </w:r>
            <w:r>
              <w:rPr>
                <w:rFonts w:ascii="ＭＳ 明朝" w:eastAsia="ＭＳ 明朝" w:hAnsi="ＭＳ 明朝" w:hint="eastAsia"/>
                <w:sz w:val="20"/>
                <w:szCs w:val="20"/>
              </w:rPr>
              <w:t>働かせ，課題を追究したり解決したりする活動を通して，グローバル化する国際社会で主体的に生きる資質・能力を育成するための</w:t>
            </w:r>
            <w:r w:rsidRPr="00A2133C">
              <w:rPr>
                <w:rFonts w:ascii="ＭＳ 明朝" w:eastAsia="ＭＳ 明朝" w:hAnsi="ＭＳ 明朝" w:hint="eastAsia"/>
                <w:sz w:val="20"/>
                <w:szCs w:val="20"/>
              </w:rPr>
              <w:t>内容が適切に取り上げられている。</w:t>
            </w:r>
          </w:p>
          <w:p w:rsidR="00E32714" w:rsidRPr="00A2133C" w:rsidRDefault="00E32714" w:rsidP="00E32714">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○学習指導要領に示された「内容」と「内容の取</w:t>
            </w:r>
            <w:r w:rsidRPr="00A2133C">
              <w:rPr>
                <w:rFonts w:ascii="ＭＳ 明朝" w:eastAsia="ＭＳ 明朝" w:hAnsi="ＭＳ 明朝" w:hint="eastAsia"/>
                <w:sz w:val="20"/>
                <w:szCs w:val="20"/>
              </w:rPr>
              <w:t>扱い」に準拠していて，生徒の実態に即した必要かつ十分な内容が適切に組織・配列されている。</w:t>
            </w:r>
          </w:p>
          <w:p w:rsidR="00E32714" w:rsidRPr="000F3935" w:rsidRDefault="00E32714" w:rsidP="00E32714">
            <w:pPr>
              <w:ind w:left="200" w:hangingChars="100" w:hanging="200"/>
              <w:rPr>
                <w:rFonts w:ascii="ＭＳ 明朝" w:eastAsia="ＭＳ 明朝" w:hAnsi="ＭＳ 明朝"/>
                <w:sz w:val="20"/>
                <w:szCs w:val="20"/>
              </w:rPr>
            </w:pPr>
            <w:r w:rsidRPr="00A2133C">
              <w:rPr>
                <w:rFonts w:ascii="ＭＳ 明朝" w:eastAsia="ＭＳ 明朝" w:hAnsi="ＭＳ 明朝" w:hint="eastAsia"/>
                <w:sz w:val="20"/>
                <w:szCs w:val="20"/>
              </w:rPr>
              <w:t>○基礎的・基本的な地理的事象が</w:t>
            </w:r>
            <w:r>
              <w:rPr>
                <w:rFonts w:ascii="ＭＳ 明朝" w:eastAsia="ＭＳ 明朝" w:hAnsi="ＭＳ 明朝" w:hint="eastAsia"/>
                <w:sz w:val="20"/>
                <w:szCs w:val="20"/>
              </w:rPr>
              <w:t>バランスよく</w:t>
            </w:r>
            <w:r w:rsidRPr="00A2133C">
              <w:rPr>
                <w:rFonts w:ascii="ＭＳ 明朝" w:eastAsia="ＭＳ 明朝" w:hAnsi="ＭＳ 明朝" w:hint="eastAsia"/>
                <w:sz w:val="20"/>
                <w:szCs w:val="20"/>
              </w:rPr>
              <w:t>取り上げられ，重要語句は本文の中で太字を使って示されている。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内容の組織・配列は，学習指導を有効に進められるように考慮されているか。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分量は学習指導を有効に進められるように考慮され，精選されているか。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中高の接続に対する配慮がなされているか。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073" w:type="dxa"/>
          </w:tcPr>
          <w:p w:rsidR="00E32714"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章の冒頭で主題が示され，章の末尾では重要事項が整理されており，どのような点に着目して学習を進めていけばよいのかわかるように考慮されている。</w:t>
            </w:r>
          </w:p>
          <w:p w:rsidR="00E32714" w:rsidRPr="005E564C" w:rsidRDefault="00E32714" w:rsidP="00E32714">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5E564C">
              <w:rPr>
                <w:rFonts w:ascii="ＭＳ 明朝" w:eastAsia="ＭＳ 明朝" w:hAnsi="ＭＳ 明朝" w:hint="eastAsia"/>
                <w:sz w:val="20"/>
                <w:szCs w:val="20"/>
              </w:rPr>
              <w:t>１テーマ</w:t>
            </w:r>
            <w:r w:rsidRPr="004D5EDF">
              <w:rPr>
                <w:rFonts w:ascii="ＭＳ 明朝" w:eastAsia="ＭＳ 明朝" w:hAnsi="ＭＳ 明朝" w:hint="eastAsia"/>
                <w:color w:val="000000"/>
                <w:sz w:val="20"/>
                <w:szCs w:val="20"/>
              </w:rPr>
              <w:t>１</w:t>
            </w:r>
            <w:r w:rsidRPr="005E564C">
              <w:rPr>
                <w:rFonts w:ascii="ＭＳ 明朝" w:eastAsia="ＭＳ 明朝" w:hAnsi="ＭＳ 明朝" w:hint="eastAsia"/>
                <w:sz w:val="20"/>
                <w:szCs w:val="20"/>
              </w:rPr>
              <w:t>見開きを基本に</w:t>
            </w:r>
            <w:r>
              <w:rPr>
                <w:rFonts w:ascii="ＭＳ 明朝" w:eastAsia="ＭＳ 明朝" w:hAnsi="ＭＳ 明朝" w:hint="eastAsia"/>
                <w:sz w:val="20"/>
                <w:szCs w:val="20"/>
              </w:rPr>
              <w:t>50見開きに内容がまとめられており，年間指導時数に照らして指導しやすい分量となるように考慮されている。</w:t>
            </w:r>
          </w:p>
          <w:p w:rsidR="00E32714" w:rsidRPr="005E564C"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各章の冒頭に中学校の学習の復習ができるほか，本文には中学校までの既習事項に印があり，中高の接続にも適切な配慮がなされている。</w:t>
            </w:r>
          </w:p>
          <w:p w:rsidR="00E32714" w:rsidRPr="000F3935" w:rsidRDefault="00E32714" w:rsidP="00E32714">
            <w:pPr>
              <w:ind w:left="200" w:hangingChars="100" w:hanging="200"/>
              <w:rPr>
                <w:rFonts w:ascii="ＭＳ 明朝" w:eastAsia="ＭＳ 明朝" w:hAnsi="ＭＳ 明朝"/>
                <w:sz w:val="20"/>
                <w:szCs w:val="20"/>
              </w:rPr>
            </w:pPr>
            <w:r w:rsidRPr="005E564C">
              <w:rPr>
                <w:rFonts w:ascii="ＭＳ 明朝" w:eastAsia="ＭＳ 明朝" w:hAnsi="ＭＳ 明朝" w:hint="eastAsia"/>
                <w:sz w:val="20"/>
                <w:szCs w:val="20"/>
              </w:rPr>
              <w:t>○</w:t>
            </w:r>
            <w:r>
              <w:rPr>
                <w:rFonts w:ascii="ＭＳ 明朝" w:eastAsia="ＭＳ 明朝" w:hAnsi="ＭＳ 明朝" w:hint="eastAsia"/>
                <w:sz w:val="20"/>
                <w:szCs w:val="20"/>
              </w:rPr>
              <w:t>地域のトピックや地理的技能などに関するコラム・補充教材が充実しており，幅広い授業展開ができるよう配慮されている</w:t>
            </w:r>
            <w:r w:rsidRPr="005E564C">
              <w:rPr>
                <w:rFonts w:ascii="ＭＳ 明朝" w:eastAsia="ＭＳ 明朝" w:hAnsi="ＭＳ 明朝" w:hint="eastAsia"/>
                <w:sz w:val="20"/>
                <w:szCs w:val="20"/>
              </w:rPr>
              <w:t>。</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073" w:type="dxa"/>
          </w:tcPr>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w:t>
            </w:r>
            <w:r>
              <w:rPr>
                <w:rFonts w:ascii="ＭＳ 明朝" w:eastAsia="ＭＳ 明朝" w:hAnsi="ＭＳ 明朝" w:hint="eastAsia"/>
                <w:sz w:val="20"/>
                <w:szCs w:val="20"/>
              </w:rPr>
              <w:t>思考のきっかけとなる見出し・問いを設け，</w:t>
            </w:r>
            <w:r w:rsidRPr="008F2F67">
              <w:rPr>
                <w:rFonts w:ascii="ＭＳ 明朝" w:eastAsia="ＭＳ 明朝" w:hAnsi="ＭＳ 明朝" w:hint="eastAsia"/>
                <w:sz w:val="20"/>
                <w:szCs w:val="20"/>
              </w:rPr>
              <w:t>地理的事象</w:t>
            </w:r>
            <w:r>
              <w:rPr>
                <w:rFonts w:ascii="ＭＳ 明朝" w:eastAsia="ＭＳ 明朝" w:hAnsi="ＭＳ 明朝" w:hint="eastAsia"/>
                <w:sz w:val="20"/>
                <w:szCs w:val="20"/>
              </w:rPr>
              <w:t>への興味・関心を引き出すコラムも豊富に用意し，学習意欲が高まるよう配慮さ</w:t>
            </w:r>
            <w:r w:rsidRPr="008F2F67">
              <w:rPr>
                <w:rFonts w:ascii="ＭＳ 明朝" w:eastAsia="ＭＳ 明朝" w:hAnsi="ＭＳ 明朝" w:hint="eastAsia"/>
                <w:sz w:val="20"/>
                <w:szCs w:val="20"/>
              </w:rPr>
              <w:t>れている。</w:t>
            </w:r>
          </w:p>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○用語・記号は統一されており，記述のしかたもわかりやすく適切である。</w:t>
            </w:r>
          </w:p>
          <w:p w:rsidR="00E32714" w:rsidRPr="008F2F67" w:rsidRDefault="00E32714" w:rsidP="00E32714">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○本文記述は平易で簡明であり，生徒が読みやすいようにルビが適切に付され，学習の重点が容易につかめるよう重要語句は太字で示されている。</w:t>
            </w:r>
            <w:r>
              <w:rPr>
                <w:rFonts w:ascii="ＭＳ 明朝" w:eastAsia="ＭＳ 明朝" w:hAnsi="ＭＳ 明朝" w:hint="eastAsia"/>
                <w:sz w:val="20"/>
                <w:szCs w:val="20"/>
              </w:rPr>
              <w:t>章末の「まとめ</w:t>
            </w:r>
            <w:r w:rsidRPr="008F2F67">
              <w:rPr>
                <w:rFonts w:ascii="ＭＳ 明朝" w:eastAsia="ＭＳ 明朝" w:hAnsi="ＭＳ 明朝" w:hint="eastAsia"/>
                <w:sz w:val="20"/>
                <w:szCs w:val="20"/>
              </w:rPr>
              <w:t>」</w:t>
            </w:r>
            <w:r>
              <w:rPr>
                <w:rFonts w:ascii="ＭＳ 明朝" w:eastAsia="ＭＳ 明朝" w:hAnsi="ＭＳ 明朝" w:hint="eastAsia"/>
                <w:sz w:val="20"/>
                <w:szCs w:val="20"/>
              </w:rPr>
              <w:t>や巻末の「用語解説」</w:t>
            </w:r>
            <w:r w:rsidRPr="008F2F67">
              <w:rPr>
                <w:rFonts w:ascii="ＭＳ 明朝" w:eastAsia="ＭＳ 明朝" w:hAnsi="ＭＳ 明朝" w:hint="eastAsia"/>
                <w:sz w:val="20"/>
                <w:szCs w:val="20"/>
              </w:rPr>
              <w:t>が設けられ，自学自習に対する配慮がなされている。</w:t>
            </w:r>
          </w:p>
          <w:p w:rsidR="00E32714" w:rsidRPr="00D26BB7" w:rsidRDefault="00E32714" w:rsidP="008B726A">
            <w:pPr>
              <w:ind w:left="200" w:hangingChars="100" w:hanging="200"/>
              <w:rPr>
                <w:rFonts w:ascii="ＭＳ 明朝" w:eastAsia="ＭＳ 明朝" w:hAnsi="ＭＳ 明朝"/>
                <w:sz w:val="20"/>
                <w:szCs w:val="20"/>
              </w:rPr>
            </w:pPr>
            <w:r w:rsidRPr="008F2F67">
              <w:rPr>
                <w:rFonts w:ascii="ＭＳ 明朝" w:eastAsia="ＭＳ 明朝" w:hAnsi="ＭＳ 明朝" w:hint="eastAsia"/>
                <w:sz w:val="20"/>
                <w:szCs w:val="20"/>
              </w:rPr>
              <w:t>○指導書や</w:t>
            </w:r>
            <w:r w:rsidR="008B726A">
              <w:rPr>
                <w:rFonts w:ascii="ＭＳ 明朝" w:eastAsia="ＭＳ 明朝" w:hAnsi="ＭＳ 明朝" w:hint="eastAsia"/>
                <w:sz w:val="20"/>
                <w:szCs w:val="20"/>
              </w:rPr>
              <w:t>指導用DVD-ROM，準拠</w:t>
            </w:r>
            <w:bookmarkStart w:id="0" w:name="_GoBack"/>
            <w:bookmarkEnd w:id="0"/>
            <w:r w:rsidRPr="008F2F67">
              <w:rPr>
                <w:rFonts w:ascii="ＭＳ 明朝" w:eastAsia="ＭＳ 明朝" w:hAnsi="ＭＳ 明朝" w:hint="eastAsia"/>
                <w:sz w:val="20"/>
                <w:szCs w:val="20"/>
              </w:rPr>
              <w:t>教材が準備されており，教科書との併用によって，より学習効果を高めることができる。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77" w:type="dxa"/>
          </w:tcPr>
          <w:p w:rsidR="00E32714" w:rsidRPr="00C41B83"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印刷の鮮明さ，活字の大きさ，行間，製本などは適切か。</w:t>
            </w:r>
          </w:p>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073" w:type="dxa"/>
          </w:tcPr>
          <w:p w:rsidR="00E32714" w:rsidRPr="00CD10D9"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○活字の大きさや配置，用紙の色などは読みやすく配慮されており，写真・図版も大きく鮮明で効果的である。製本も堅牢である。</w:t>
            </w:r>
          </w:p>
          <w:p w:rsidR="00E32714" w:rsidRPr="00CD10D9"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○本文の用紙には再生紙と植物油インクが使用されており，地球環境や資源に及ぼす影響が考慮されている。</w:t>
            </w:r>
          </w:p>
          <w:p w:rsidR="00E32714" w:rsidRPr="000F3935" w:rsidRDefault="00E32714" w:rsidP="00E32714">
            <w:pPr>
              <w:ind w:left="200" w:hangingChars="100" w:hanging="200"/>
              <w:rPr>
                <w:rFonts w:ascii="ＭＳ 明朝" w:eastAsia="ＭＳ 明朝" w:hAnsi="ＭＳ 明朝"/>
                <w:sz w:val="20"/>
                <w:szCs w:val="20"/>
              </w:rPr>
            </w:pPr>
            <w:r w:rsidRPr="00CD10D9">
              <w:rPr>
                <w:rFonts w:ascii="ＭＳ 明朝" w:eastAsia="ＭＳ 明朝" w:hAnsi="ＭＳ 明朝" w:hint="eastAsia"/>
                <w:sz w:val="20"/>
                <w:szCs w:val="20"/>
              </w:rPr>
              <w:t>○図の色使いなどは色覚特性への配慮を含むユニバーサルデザインとなっており，配色が工夫され，見やすい紙面になっている。</w:t>
            </w:r>
          </w:p>
        </w:tc>
      </w:tr>
      <w:tr w:rsidR="00E32714" w:rsidRPr="000F3935" w:rsidTr="00B50457">
        <w:tc>
          <w:tcPr>
            <w:tcW w:w="1985" w:type="dxa"/>
          </w:tcPr>
          <w:p w:rsidR="00E32714" w:rsidRPr="000F3935" w:rsidRDefault="00E32714" w:rsidP="00E32714">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E32714" w:rsidRPr="000F3935" w:rsidRDefault="00E32714" w:rsidP="00E32714">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上記観点からみた，全体的・総合的な当教科書の特徴</w:t>
            </w:r>
          </w:p>
        </w:tc>
        <w:tc>
          <w:tcPr>
            <w:tcW w:w="9073" w:type="dxa"/>
          </w:tcPr>
          <w:p w:rsidR="00E32714" w:rsidRPr="000F3935" w:rsidRDefault="00E32714" w:rsidP="00E32714">
            <w:pPr>
              <w:ind w:left="200" w:hangingChars="100" w:hanging="200"/>
              <w:rPr>
                <w:rFonts w:ascii="ＭＳ 明朝" w:eastAsia="ＭＳ 明朝" w:hAnsi="ＭＳ 明朝"/>
                <w:sz w:val="20"/>
                <w:szCs w:val="20"/>
              </w:rPr>
            </w:pPr>
            <w:r w:rsidRPr="00B42355">
              <w:rPr>
                <w:rFonts w:ascii="ＭＳ 明朝" w:eastAsia="ＭＳ 明朝" w:hAnsi="ＭＳ 明朝" w:hint="eastAsia"/>
                <w:sz w:val="20"/>
                <w:szCs w:val="20"/>
              </w:rPr>
              <w:t>○簡明な本文記述とともに，</w:t>
            </w:r>
            <w:r>
              <w:rPr>
                <w:rFonts w:ascii="ＭＳ 明朝" w:eastAsia="ＭＳ 明朝" w:hAnsi="ＭＳ 明朝" w:hint="eastAsia"/>
                <w:sz w:val="20"/>
                <w:szCs w:val="20"/>
              </w:rPr>
              <w:t>活動に結び付きやすい魅力ある</w:t>
            </w:r>
            <w:r w:rsidRPr="00B42355">
              <w:rPr>
                <w:rFonts w:ascii="ＭＳ 明朝" w:eastAsia="ＭＳ 明朝" w:hAnsi="ＭＳ 明朝" w:hint="eastAsia"/>
                <w:sz w:val="20"/>
                <w:szCs w:val="20"/>
              </w:rPr>
              <w:t>資料</w:t>
            </w:r>
            <w:r>
              <w:rPr>
                <w:rFonts w:ascii="ＭＳ 明朝" w:eastAsia="ＭＳ 明朝" w:hAnsi="ＭＳ 明朝" w:hint="eastAsia"/>
                <w:sz w:val="20"/>
                <w:szCs w:val="20"/>
              </w:rPr>
              <w:t>・教材</w:t>
            </w:r>
            <w:r w:rsidRPr="00B42355">
              <w:rPr>
                <w:rFonts w:ascii="ＭＳ 明朝" w:eastAsia="ＭＳ 明朝" w:hAnsi="ＭＳ 明朝" w:hint="eastAsia"/>
                <w:sz w:val="20"/>
                <w:szCs w:val="20"/>
              </w:rPr>
              <w:t>が豊富に掲載されており，</w:t>
            </w:r>
            <w:r>
              <w:rPr>
                <w:rFonts w:ascii="ＭＳ 明朝" w:eastAsia="ＭＳ 明朝" w:hAnsi="ＭＳ 明朝" w:hint="eastAsia"/>
                <w:sz w:val="20"/>
                <w:szCs w:val="20"/>
              </w:rPr>
              <w:t>グローバル化の進んだ</w:t>
            </w:r>
            <w:r w:rsidRPr="00B42355">
              <w:rPr>
                <w:rFonts w:ascii="ＭＳ 明朝" w:eastAsia="ＭＳ 明朝" w:hAnsi="ＭＳ 明朝" w:hint="eastAsia"/>
                <w:sz w:val="20"/>
                <w:szCs w:val="20"/>
              </w:rPr>
              <w:t>現代世界の地理的な諸課題を考察し，理解を深めることができるように工夫が施されている。全体として内容・程度・分量などのバランスがとれ，配慮が行き届いた，使いやすい教科書である。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AD" w:rsidRDefault="00D018AD">
      <w:r>
        <w:separator/>
      </w:r>
    </w:p>
  </w:endnote>
  <w:endnote w:type="continuationSeparator" w:id="0">
    <w:p w:rsidR="00D018AD" w:rsidRDefault="00D0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AD" w:rsidRDefault="00D018AD">
      <w:r>
        <w:separator/>
      </w:r>
    </w:p>
  </w:footnote>
  <w:footnote w:type="continuationSeparator" w:id="0">
    <w:p w:rsidR="00D018AD" w:rsidRDefault="00D01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C2187"/>
    <w:rsid w:val="003D6F36"/>
    <w:rsid w:val="003E05F8"/>
    <w:rsid w:val="003E5BD7"/>
    <w:rsid w:val="004124AB"/>
    <w:rsid w:val="00414750"/>
    <w:rsid w:val="004306C0"/>
    <w:rsid w:val="00471990"/>
    <w:rsid w:val="00480795"/>
    <w:rsid w:val="00487790"/>
    <w:rsid w:val="004E25D7"/>
    <w:rsid w:val="005007AC"/>
    <w:rsid w:val="00501542"/>
    <w:rsid w:val="00501697"/>
    <w:rsid w:val="005F705E"/>
    <w:rsid w:val="0063131B"/>
    <w:rsid w:val="0065156D"/>
    <w:rsid w:val="006532CB"/>
    <w:rsid w:val="00676D6A"/>
    <w:rsid w:val="006B283C"/>
    <w:rsid w:val="006D7E40"/>
    <w:rsid w:val="00712CBB"/>
    <w:rsid w:val="0073630A"/>
    <w:rsid w:val="00737CC6"/>
    <w:rsid w:val="00762EE6"/>
    <w:rsid w:val="007A16C6"/>
    <w:rsid w:val="007C5151"/>
    <w:rsid w:val="00863A33"/>
    <w:rsid w:val="008B1C69"/>
    <w:rsid w:val="008B726A"/>
    <w:rsid w:val="009323E8"/>
    <w:rsid w:val="009531F0"/>
    <w:rsid w:val="009B3526"/>
    <w:rsid w:val="009E5B3C"/>
    <w:rsid w:val="00A71029"/>
    <w:rsid w:val="00A73A64"/>
    <w:rsid w:val="00A91DA5"/>
    <w:rsid w:val="00AC681A"/>
    <w:rsid w:val="00AD6A74"/>
    <w:rsid w:val="00B15585"/>
    <w:rsid w:val="00B50457"/>
    <w:rsid w:val="00BA2E0C"/>
    <w:rsid w:val="00BA3723"/>
    <w:rsid w:val="00BC328A"/>
    <w:rsid w:val="00BD2334"/>
    <w:rsid w:val="00C41B83"/>
    <w:rsid w:val="00C8713F"/>
    <w:rsid w:val="00C93A71"/>
    <w:rsid w:val="00CA5FAD"/>
    <w:rsid w:val="00CD13F8"/>
    <w:rsid w:val="00CD40A1"/>
    <w:rsid w:val="00CE7266"/>
    <w:rsid w:val="00D018AD"/>
    <w:rsid w:val="00D130DB"/>
    <w:rsid w:val="00D26BB7"/>
    <w:rsid w:val="00D94700"/>
    <w:rsid w:val="00DA3C36"/>
    <w:rsid w:val="00DC3ECF"/>
    <w:rsid w:val="00E005FA"/>
    <w:rsid w:val="00E04520"/>
    <w:rsid w:val="00E31A1F"/>
    <w:rsid w:val="00E32714"/>
    <w:rsid w:val="00E47F30"/>
    <w:rsid w:val="00E76BB6"/>
    <w:rsid w:val="00E8545E"/>
    <w:rsid w:val="00EB615D"/>
    <w:rsid w:val="00EE1B28"/>
    <w:rsid w:val="00F207A6"/>
    <w:rsid w:val="00F2159F"/>
    <w:rsid w:val="00F27031"/>
    <w:rsid w:val="00F521D7"/>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4E383-EA37-4F28-A84A-A28E1E3D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2021-04-21T02:04:00Z</dcterms:created>
  <dcterms:modified xsi:type="dcterms:W3CDTF">2021-04-21T02:45:00Z</dcterms:modified>
</cp:coreProperties>
</file>