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57D" w:rsidRPr="00A51D09" w:rsidRDefault="000B06D6">
      <w:pPr>
        <w:rPr>
          <w:rFonts w:ascii="ＭＳ ゴシック" w:eastAsia="ＭＳ ゴシック" w:hAnsi="ＭＳ ゴシック"/>
        </w:rPr>
      </w:pPr>
      <w:r w:rsidRPr="00A51D09">
        <w:rPr>
          <w:rFonts w:ascii="ＭＳ ゴシック" w:eastAsia="ＭＳ ゴシック" w:hAnsi="ＭＳ ゴシック"/>
        </w:rPr>
        <w:t>検討の観点と内容の特色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709"/>
        <w:gridCol w:w="1843"/>
        <w:gridCol w:w="1701"/>
        <w:gridCol w:w="3543"/>
      </w:tblGrid>
      <w:tr w:rsidR="000B06D6" w:rsidRPr="000B06D6" w:rsidTr="00184D2C">
        <w:tc>
          <w:tcPr>
            <w:tcW w:w="704" w:type="dxa"/>
          </w:tcPr>
          <w:p w:rsidR="000B06D6" w:rsidRPr="000B06D6" w:rsidRDefault="000B06D6" w:rsidP="009C6219">
            <w:pPr>
              <w:jc w:val="center"/>
              <w:rPr>
                <w:rFonts w:ascii="ＭＳ 明朝" w:eastAsia="ＭＳ 明朝" w:hAnsi="ＭＳ 明朝"/>
              </w:rPr>
            </w:pPr>
            <w:r w:rsidRPr="009C6219">
              <w:rPr>
                <w:rFonts w:ascii="ＭＳ 明朝" w:eastAsia="ＭＳ 明朝" w:hAnsi="ＭＳ 明朝" w:hint="eastAsia"/>
                <w:sz w:val="18"/>
              </w:rPr>
              <w:t>書名</w:t>
            </w:r>
          </w:p>
        </w:tc>
        <w:tc>
          <w:tcPr>
            <w:tcW w:w="1134" w:type="dxa"/>
          </w:tcPr>
          <w:p w:rsidR="000B06D6" w:rsidRPr="00072565" w:rsidRDefault="0065140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化学</w:t>
            </w:r>
            <w:r w:rsidR="00184D2C" w:rsidRPr="00184D2C">
              <w:rPr>
                <w:rFonts w:ascii="ＭＳ ゴシック" w:eastAsia="ＭＳ ゴシック" w:hAnsi="ＭＳ ゴシック" w:hint="eastAsia"/>
              </w:rPr>
              <w:t>基礎</w:t>
            </w:r>
          </w:p>
        </w:tc>
        <w:tc>
          <w:tcPr>
            <w:tcW w:w="709" w:type="dxa"/>
          </w:tcPr>
          <w:p w:rsidR="000B06D6" w:rsidRPr="009C6219" w:rsidRDefault="000B06D6" w:rsidP="009C6219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C6219">
              <w:rPr>
                <w:rFonts w:ascii="ＭＳ 明朝" w:eastAsia="ＭＳ 明朝" w:hAnsi="ＭＳ 明朝"/>
                <w:sz w:val="18"/>
              </w:rPr>
              <w:t>教番</w:t>
            </w:r>
          </w:p>
        </w:tc>
        <w:tc>
          <w:tcPr>
            <w:tcW w:w="1843" w:type="dxa"/>
          </w:tcPr>
          <w:p w:rsidR="000B06D6" w:rsidRPr="00A51D09" w:rsidRDefault="00651401">
            <w:pPr>
              <w:rPr>
                <w:rFonts w:ascii="ＭＳ ゴシック" w:eastAsia="ＭＳ ゴシック" w:hAnsi="ＭＳ ゴシック"/>
              </w:rPr>
            </w:pPr>
            <w:r w:rsidRPr="00A51D09">
              <w:rPr>
                <w:rFonts w:ascii="ＭＳ ゴシック" w:eastAsia="ＭＳ ゴシック" w:hAnsi="ＭＳ ゴシック"/>
              </w:rPr>
              <w:t>2 東書・化基701</w:t>
            </w:r>
          </w:p>
        </w:tc>
        <w:tc>
          <w:tcPr>
            <w:tcW w:w="1701" w:type="dxa"/>
          </w:tcPr>
          <w:p w:rsidR="000B06D6" w:rsidRPr="005B123A" w:rsidRDefault="000B06D6" w:rsidP="009C6219">
            <w:pPr>
              <w:jc w:val="center"/>
              <w:rPr>
                <w:rFonts w:ascii="ＭＳ 明朝" w:eastAsia="ＭＳ 明朝" w:hAnsi="ＭＳ 明朝"/>
              </w:rPr>
            </w:pPr>
            <w:r w:rsidRPr="005B123A">
              <w:rPr>
                <w:rFonts w:ascii="ＭＳ 明朝" w:eastAsia="ＭＳ 明朝" w:hAnsi="ＭＳ 明朝"/>
                <w:sz w:val="18"/>
              </w:rPr>
              <w:t>判型・ページ数</w:t>
            </w:r>
          </w:p>
        </w:tc>
        <w:tc>
          <w:tcPr>
            <w:tcW w:w="3543" w:type="dxa"/>
          </w:tcPr>
          <w:p w:rsidR="000B06D6" w:rsidRPr="00A51D09" w:rsidRDefault="00651401" w:rsidP="009A0D71">
            <w:pPr>
              <w:rPr>
                <w:rFonts w:ascii="ＭＳ ゴシック" w:eastAsia="ＭＳ ゴシック" w:hAnsi="ＭＳ ゴシック"/>
              </w:rPr>
            </w:pPr>
            <w:r w:rsidRPr="00A51D09">
              <w:rPr>
                <w:rFonts w:ascii="ＭＳ ゴシック" w:eastAsia="ＭＳ ゴシック" w:hAnsi="ＭＳ ゴシック"/>
              </w:rPr>
              <w:t>B5変形（A5ワイド）判・244ページ</w:t>
            </w:r>
          </w:p>
        </w:tc>
      </w:tr>
    </w:tbl>
    <w:p w:rsidR="00A51D09" w:rsidRPr="005B123A" w:rsidRDefault="00A51D09" w:rsidP="009A0D71">
      <w:pPr>
        <w:tabs>
          <w:tab w:val="left" w:pos="817"/>
          <w:tab w:val="left" w:pos="1951"/>
          <w:tab w:val="left" w:pos="2660"/>
          <w:tab w:val="left" w:pos="4503"/>
          <w:tab w:val="left" w:pos="6204"/>
        </w:tabs>
        <w:ind w:left="113"/>
        <w:jc w:val="left"/>
        <w:rPr>
          <w:rFonts w:ascii="ＭＳ 明朝" w:eastAsia="ＭＳ 明朝" w:hAnsi="ＭＳ 明朝"/>
        </w:rPr>
      </w:pPr>
      <w:r w:rsidRPr="009C6219">
        <w:rPr>
          <w:rFonts w:ascii="ＭＳ 明朝" w:eastAsia="ＭＳ 明朝" w:hAnsi="ＭＳ 明朝" w:hint="eastAsia"/>
          <w:sz w:val="18"/>
        </w:rPr>
        <w:tab/>
      </w:r>
      <w:r>
        <w:rPr>
          <w:rFonts w:ascii="ＭＳ ゴシック" w:eastAsia="ＭＳ ゴシック" w:hAnsi="ＭＳ ゴシック" w:hint="eastAsia"/>
        </w:rPr>
        <w:tab/>
      </w:r>
      <w:r w:rsidRPr="009C6219">
        <w:rPr>
          <w:rFonts w:ascii="ＭＳ 明朝" w:eastAsia="ＭＳ 明朝" w:hAnsi="ＭＳ 明朝"/>
          <w:sz w:val="18"/>
        </w:rPr>
        <w:tab/>
      </w:r>
      <w:r w:rsidRPr="005B123A">
        <w:rPr>
          <w:rFonts w:ascii="ＭＳ 明朝" w:eastAsia="ＭＳ 明朝" w:hAnsi="ＭＳ 明朝"/>
        </w:rPr>
        <w:tab/>
      </w:r>
      <w:r w:rsidRPr="005B123A">
        <w:rPr>
          <w:rFonts w:ascii="ＭＳ 明朝" w:eastAsia="ＭＳ 明朝" w:hAnsi="ＭＳ 明朝"/>
          <w:sz w:val="1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6237"/>
      </w:tblGrid>
      <w:tr w:rsidR="000B06D6" w:rsidRPr="000B06D6" w:rsidTr="005B123A">
        <w:tc>
          <w:tcPr>
            <w:tcW w:w="704" w:type="dxa"/>
          </w:tcPr>
          <w:p w:rsidR="000B06D6" w:rsidRPr="00651401" w:rsidRDefault="00651401" w:rsidP="0065140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C6219">
              <w:rPr>
                <w:rFonts w:ascii="ＭＳ ゴシック" w:eastAsia="ＭＳ ゴシック" w:hAnsi="ＭＳ ゴシック" w:hint="eastAsia"/>
                <w:sz w:val="18"/>
              </w:rPr>
              <w:t>項</w:t>
            </w:r>
            <w:r w:rsidR="000B06D6" w:rsidRPr="009C6219">
              <w:rPr>
                <w:rFonts w:ascii="ＭＳ ゴシック" w:eastAsia="ＭＳ ゴシック" w:hAnsi="ＭＳ ゴシック" w:hint="eastAsia"/>
                <w:sz w:val="18"/>
              </w:rPr>
              <w:t>目</w:t>
            </w:r>
          </w:p>
        </w:tc>
        <w:tc>
          <w:tcPr>
            <w:tcW w:w="2693" w:type="dxa"/>
          </w:tcPr>
          <w:p w:rsidR="000B06D6" w:rsidRPr="00651401" w:rsidRDefault="00651401" w:rsidP="006904A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C6219">
              <w:rPr>
                <w:rFonts w:ascii="ＭＳ ゴシック" w:eastAsia="ＭＳ ゴシック" w:hAnsi="ＭＳ ゴシック"/>
                <w:sz w:val="18"/>
              </w:rPr>
              <w:t>観</w:t>
            </w:r>
            <w:bookmarkStart w:id="0" w:name="_GoBack"/>
            <w:bookmarkEnd w:id="0"/>
            <w:r w:rsidR="000B06D6" w:rsidRPr="009C6219">
              <w:rPr>
                <w:rFonts w:ascii="ＭＳ ゴシック" w:eastAsia="ＭＳ ゴシック" w:hAnsi="ＭＳ ゴシック"/>
                <w:sz w:val="18"/>
              </w:rPr>
              <w:t>点</w:t>
            </w:r>
          </w:p>
        </w:tc>
        <w:tc>
          <w:tcPr>
            <w:tcW w:w="6237" w:type="dxa"/>
          </w:tcPr>
          <w:p w:rsidR="000B06D6" w:rsidRPr="00651401" w:rsidRDefault="00651401" w:rsidP="0065140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C6219">
              <w:rPr>
                <w:rFonts w:ascii="ＭＳ ゴシック" w:eastAsia="ＭＳ ゴシック" w:hAnsi="ＭＳ ゴシック" w:hint="eastAsia"/>
                <w:sz w:val="18"/>
              </w:rPr>
              <w:t>内容の特色</w:t>
            </w:r>
          </w:p>
        </w:tc>
      </w:tr>
      <w:tr w:rsidR="000B06D6" w:rsidRPr="000B06D6" w:rsidTr="005B123A">
        <w:trPr>
          <w:cantSplit/>
          <w:trHeight w:val="1134"/>
        </w:trPr>
        <w:tc>
          <w:tcPr>
            <w:tcW w:w="704" w:type="dxa"/>
            <w:textDirection w:val="tbRlV"/>
          </w:tcPr>
          <w:p w:rsidR="000B06D6" w:rsidRPr="009A0D71" w:rsidRDefault="000B06D6" w:rsidP="0033388C">
            <w:pPr>
              <w:spacing w:beforeLines="50" w:before="180"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9A0D71">
              <w:rPr>
                <w:rFonts w:ascii="ＭＳ ゴシック" w:eastAsia="ＭＳ ゴシック" w:hAnsi="ＭＳ ゴシック" w:hint="eastAsia"/>
                <w:sz w:val="18"/>
                <w:szCs w:val="16"/>
              </w:rPr>
              <w:t>内容の選択・程度</w:t>
            </w:r>
          </w:p>
        </w:tc>
        <w:tc>
          <w:tcPr>
            <w:tcW w:w="2693" w:type="dxa"/>
          </w:tcPr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学習指導要領の教科の目標を達</w:t>
            </w:r>
          </w:p>
          <w:p w:rsid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成するため</w:t>
            </w: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必要な教材が適切に</w:t>
            </w:r>
          </w:p>
          <w:p w:rsidR="00651401" w:rsidRPr="00651401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用意されているか。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基礎的・基本的な知識・技能の理</w:t>
            </w:r>
          </w:p>
          <w:p w:rsid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解や習得</w:t>
            </w: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のための適切な配慮が</w:t>
            </w:r>
          </w:p>
          <w:p w:rsidR="00651401" w:rsidRPr="00651401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なされているか。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観察，実験などを行い，科学的に</w:t>
            </w:r>
          </w:p>
          <w:p w:rsid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探究する</w:t>
            </w: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力を育成するための適</w:t>
            </w:r>
          </w:p>
          <w:p w:rsidR="00651401" w:rsidRPr="00651401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切な配慮がなされているか。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「主体的・対話的で深い学び」が</w:t>
            </w:r>
          </w:p>
          <w:p w:rsid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実現できる</w:t>
            </w: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よう編集されている</w:t>
            </w:r>
          </w:p>
          <w:p w:rsidR="00651401" w:rsidRPr="00651401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発展的な内容の取り扱いに対す</w:t>
            </w:r>
          </w:p>
          <w:p w:rsid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る適切な配</w:t>
            </w: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慮がなされている</w:t>
            </w:r>
          </w:p>
          <w:p w:rsidR="000B06D6" w:rsidRPr="00651401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か。</w:t>
            </w:r>
          </w:p>
        </w:tc>
        <w:tc>
          <w:tcPr>
            <w:tcW w:w="6237" w:type="dxa"/>
          </w:tcPr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高等学校理科学習指導要領の「目標」「内容」及び「内容の取扱い」に示された事</w:t>
            </w:r>
          </w:p>
          <w:p w:rsidR="00651401" w:rsidRPr="00651401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項のすべてについて不足なく取り上げている。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本文中に随所に「問」「例題」が設けられており，学習事項の確実な定着が図られ</w:t>
            </w:r>
          </w:p>
          <w:p w:rsidR="00651401" w:rsidRPr="00651401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るように工夫されている。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各章末には「</w:t>
            </w:r>
            <w:r w:rsidRPr="009C6219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まとめ</w:t>
            </w: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」が２ページと「</w:t>
            </w:r>
            <w:r w:rsidRPr="009C6219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章末問題</w:t>
            </w: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」が配置されており，基本的な学習</w:t>
            </w:r>
          </w:p>
          <w:p w:rsidR="00651401" w:rsidRPr="00651401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内容の定着が図られるように工夫されている。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各学習項目の終末に「この節のポイント」が設けられ，到達目標が示されており，</w:t>
            </w:r>
          </w:p>
          <w:p w:rsidR="006D7DD0" w:rsidRDefault="00651401" w:rsidP="006D7DD0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生徒が</w:t>
            </w:r>
            <w:r w:rsidRPr="009C6219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自ら記述</w:t>
            </w: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したり友達とたがいに説明し合ったりするなどの活動を通して，</w:t>
            </w:r>
            <w:r w:rsidRPr="009C6219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基</w:t>
            </w:r>
          </w:p>
          <w:p w:rsidR="00651401" w:rsidRPr="00651401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 w:rsidRPr="009C6219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本事項の理解を深めるとともに表現力を養うこと</w:t>
            </w: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ができるように工夫されている。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巻末には「総合問題」が設けられている。複数領域にまたがり，知識をつなげて考</w:t>
            </w:r>
          </w:p>
          <w:p w:rsid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える問題や記述式問題などが掲載されており，知識を活用する力や表現力を養うこ</w:t>
            </w:r>
          </w:p>
          <w:p w:rsidR="00651401" w:rsidRPr="00651401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とができる世に工夫されている。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教科書の構成は探究の過程に沿っており，生徒自らが課題を見いだして，探究的に</w:t>
            </w:r>
          </w:p>
          <w:p w:rsidR="00651401" w:rsidRPr="00651401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学習が進められるように工夫されている。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「</w:t>
            </w:r>
            <w:r w:rsidRPr="009C6219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実験</w:t>
            </w: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」は，実施しやすく結果が出やすい内容を</w:t>
            </w:r>
            <w:r w:rsidRPr="009C6219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厳選</w:t>
            </w: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して取り上げ，生徒自らが実</w:t>
            </w:r>
          </w:p>
          <w:p w:rsid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験を行い，結果を分析，解釈してまとめ，科学的に探究する力を育成できるように</w:t>
            </w:r>
          </w:p>
          <w:p w:rsidR="00651401" w:rsidRPr="00651401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工夫されている。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節の冒頭に「</w:t>
            </w:r>
            <w:r w:rsidRPr="009C6219"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Let’s Start!</w:t>
            </w:r>
            <w:r w:rsidRPr="00651401">
              <w:rPr>
                <w:rFonts w:ascii="ＭＳ 明朝" w:eastAsia="ＭＳ 明朝" w:hAnsi="ＭＳ 明朝" w:cs="ＭＳ ゴシック"/>
                <w:sz w:val="16"/>
                <w:szCs w:val="16"/>
              </w:rPr>
              <w:t>」が配置されており，身近な自然や日常生活とのつな</w:t>
            </w:r>
          </w:p>
          <w:p w:rsid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ゴシック"/>
                <w:sz w:val="16"/>
                <w:szCs w:val="16"/>
              </w:rPr>
              <w:t>がりを実感できる内容</w:t>
            </w: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から導入し，学習への意欲を喚起できるように工夫されてい</w:t>
            </w:r>
          </w:p>
          <w:p w:rsidR="00651401" w:rsidRPr="00651401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「発展的な学習内容」が適所に設けられており，学習を深めることができるように</w:t>
            </w:r>
          </w:p>
          <w:p w:rsid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配慮されている。「発展的な学習内容」には「発展」マークを付し，必修の学習内</w:t>
            </w:r>
          </w:p>
          <w:p w:rsidR="00651401" w:rsidRPr="00651401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容とは明確に区分けされている。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基礎的な内容をさらに深く理解するために，「コラム」「</w:t>
            </w:r>
            <w:r w:rsidRPr="00651401">
              <w:rPr>
                <w:rFonts w:ascii="ＭＳ 明朝" w:eastAsia="ＭＳ 明朝" w:hAnsi="ＭＳ 明朝" w:cs="ＭＳ ゴシック"/>
                <w:sz w:val="16"/>
                <w:szCs w:val="16"/>
              </w:rPr>
              <w:t>PLUS」が適宜設けられてい</w:t>
            </w:r>
          </w:p>
          <w:p w:rsidR="0033388C" w:rsidRDefault="00651401" w:rsidP="0033388C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ゴシック"/>
                <w:sz w:val="16"/>
                <w:szCs w:val="16"/>
              </w:rPr>
              <w:t>る。また，大学</w:t>
            </w: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でも活かせるより深い知識と理解が得られるように，巻末には</w:t>
            </w:r>
          </w:p>
          <w:p w:rsidR="000B06D6" w:rsidRPr="00651401" w:rsidRDefault="00651401" w:rsidP="0033388C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「</w:t>
            </w:r>
            <w:r w:rsidRPr="009C6219"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Premium PLUS</w:t>
            </w:r>
            <w:r w:rsidRPr="00651401">
              <w:rPr>
                <w:rFonts w:ascii="ＭＳ 明朝" w:eastAsia="ＭＳ 明朝" w:hAnsi="ＭＳ 明朝" w:cs="ＭＳ ゴシック"/>
                <w:sz w:val="16"/>
                <w:szCs w:val="16"/>
              </w:rPr>
              <w:t>」が設けられており，</w:t>
            </w:r>
            <w:r w:rsidRPr="00651401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学習の深化が図られるように工夫されている。</w:t>
            </w:r>
          </w:p>
        </w:tc>
      </w:tr>
      <w:tr w:rsidR="000B06D6" w:rsidRPr="000B06D6" w:rsidTr="005B123A">
        <w:trPr>
          <w:cantSplit/>
          <w:trHeight w:val="1134"/>
        </w:trPr>
        <w:tc>
          <w:tcPr>
            <w:tcW w:w="704" w:type="dxa"/>
            <w:textDirection w:val="tbRlV"/>
          </w:tcPr>
          <w:p w:rsidR="000B06D6" w:rsidRPr="009A0D71" w:rsidRDefault="000B06D6" w:rsidP="0033388C">
            <w:pPr>
              <w:spacing w:beforeLines="50" w:before="180"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A0D71">
              <w:rPr>
                <w:rFonts w:ascii="ＭＳ ゴシック" w:eastAsia="ＭＳ ゴシック" w:hAnsi="ＭＳ ゴシック"/>
                <w:sz w:val="18"/>
                <w:szCs w:val="18"/>
              </w:rPr>
              <w:t>組織・配列・分量</w:t>
            </w:r>
          </w:p>
        </w:tc>
        <w:tc>
          <w:tcPr>
            <w:tcW w:w="2693" w:type="dxa"/>
          </w:tcPr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内容の組織・配列は，学習指導を</w:t>
            </w:r>
          </w:p>
          <w:p w:rsid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有効に進</w:t>
            </w: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められるように考慮さ</w:t>
            </w:r>
          </w:p>
          <w:p w:rsidR="00651401" w:rsidRPr="00651401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れているか。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分量は学習指導を有効に進めら</w:t>
            </w:r>
          </w:p>
          <w:p w:rsid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れるように</w:t>
            </w: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考慮され，精選され</w:t>
            </w:r>
          </w:p>
          <w:p w:rsidR="00651401" w:rsidRP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ているか。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中学校との接続や他科目との関</w:t>
            </w:r>
          </w:p>
          <w:p w:rsid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連など，カ</w:t>
            </w: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リキュラム・マネジメ</w:t>
            </w:r>
          </w:p>
          <w:p w:rsid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ントに対する配慮がなされてい</w:t>
            </w:r>
          </w:p>
          <w:p w:rsidR="00651401" w:rsidRP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るか。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弾力的な取り扱いに対する配慮</w:t>
            </w:r>
          </w:p>
          <w:p w:rsidR="000B06D6" w:rsidRP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がなされて</w:t>
            </w: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いるか。</w:t>
            </w:r>
          </w:p>
        </w:tc>
        <w:tc>
          <w:tcPr>
            <w:tcW w:w="6237" w:type="dxa"/>
          </w:tcPr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・</w:t>
            </w:r>
            <w:r w:rsidRPr="009C6219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１編１章「化学とは何か」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では，写真</w:t>
            </w: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を中心に暮らしと化学との関わりを考えるよ</w:t>
            </w:r>
          </w:p>
          <w:p w:rsidR="006D7DD0" w:rsidRDefault="00651401" w:rsidP="006D7DD0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うに構成されており，生徒に学習への興味や必要感を喚起するための</w:t>
            </w:r>
            <w:r w:rsidRPr="009C62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授業のオリエ</w:t>
            </w:r>
          </w:p>
          <w:p w:rsidR="00651401" w:rsidRPr="006D7DD0" w:rsidRDefault="00651401" w:rsidP="006D7DD0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C62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ンテーション</w:t>
            </w: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として利用できるように工夫されている。</w:t>
            </w:r>
          </w:p>
          <w:p w:rsidR="006D7DD0" w:rsidRDefault="00651401" w:rsidP="006D7DD0">
            <w:pPr>
              <w:spacing w:line="0" w:lineRule="atLeas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9C6219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終章「化学が拓く世界」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では，</w:t>
            </w:r>
            <w:r w:rsidRPr="009C6219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学習内容を活かして暮らしや社会を化学の視点で見</w:t>
            </w:r>
          </w:p>
          <w:p w:rsid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9C6219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直すこと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ができる</w:t>
            </w: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ように構成されており，化学を学ぶ意義を実感できるように配慮</w:t>
            </w:r>
          </w:p>
          <w:p w:rsidR="00651401" w:rsidRPr="006D7DD0" w:rsidRDefault="00651401" w:rsidP="006D7DD0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されている。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本文は簡潔で，内容が精選されている。また，「</w:t>
            </w:r>
            <w:r w:rsidRPr="009C6219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実験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」は実施しやすく結果が出や</w:t>
            </w:r>
          </w:p>
          <w:p w:rsid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すい内容に</w:t>
            </w:r>
            <w:r w:rsidRPr="009C6219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厳選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さ</w:t>
            </w: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れており，生徒が無理なく学び，理解できる内容・分量になって</w:t>
            </w:r>
          </w:p>
          <w:p w:rsidR="00651401" w:rsidRP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いる。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節の構成が，「</w:t>
            </w:r>
            <w:r w:rsidRPr="00651401">
              <w:rPr>
                <w:rFonts w:ascii="ＭＳ 明朝" w:eastAsia="ＭＳ 明朝" w:hAnsi="ＭＳ 明朝"/>
                <w:sz w:val="16"/>
                <w:szCs w:val="16"/>
              </w:rPr>
              <w:t>Let’s start!」→「？」（学習の問い）→（「実験」）→本文→「！」</w:t>
            </w:r>
          </w:p>
          <w:p w:rsidR="006D7DD0" w:rsidRDefault="00651401" w:rsidP="006D7DD0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/>
                <w:sz w:val="16"/>
                <w:szCs w:val="16"/>
              </w:rPr>
              <w:t>（この節のポイント）」で</w:t>
            </w: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構成されており，</w:t>
            </w:r>
            <w:r w:rsidRPr="009C62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生徒が主体的に課題を見いだして学習</w:t>
            </w:r>
          </w:p>
          <w:p w:rsidR="00651401" w:rsidRPr="00651401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を進められるように工夫されている。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中学校での既習の内容には「復習」マークを付け，効果的に復習ができるように工</w:t>
            </w:r>
          </w:p>
          <w:p w:rsid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夫されている。ま</w:t>
            </w: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た，二次元コードで中学校理科教科書の「学習のまとめ」の紙面</w:t>
            </w:r>
          </w:p>
          <w:p w:rsidR="00651401" w:rsidRP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を確認できるように工夫されている。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学習内容を「本文」「コラム」「</w:t>
            </w:r>
            <w:r w:rsidRPr="00651401">
              <w:rPr>
                <w:rFonts w:ascii="ＭＳ 明朝" w:eastAsia="ＭＳ 明朝" w:hAnsi="ＭＳ 明朝"/>
                <w:sz w:val="16"/>
                <w:szCs w:val="16"/>
              </w:rPr>
              <w:t>PLUS」「発展」に区分けして，学習内容に軽重がつ</w:t>
            </w:r>
          </w:p>
          <w:p w:rsidR="00651401" w:rsidRPr="00651401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/>
                <w:sz w:val="16"/>
                <w:szCs w:val="16"/>
              </w:rPr>
              <w:t>けやすいように配</w:t>
            </w: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慮されている。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9C6219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手軽に短時間ででき</w:t>
            </w:r>
            <w:r w:rsidRPr="009C62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る「気づき</w:t>
            </w:r>
            <w:proofErr w:type="spellStart"/>
            <w:r w:rsidRPr="009C6219">
              <w:rPr>
                <w:rFonts w:ascii="ＭＳ ゴシック" w:eastAsia="ＭＳ ゴシック" w:hAnsi="ＭＳ ゴシック"/>
                <w:sz w:val="16"/>
                <w:szCs w:val="16"/>
              </w:rPr>
              <w:t>Labo</w:t>
            </w:r>
            <w:proofErr w:type="spellEnd"/>
            <w:r w:rsidRPr="009C6219">
              <w:rPr>
                <w:rFonts w:ascii="ＭＳ ゴシック" w:eastAsia="ＭＳ ゴシック" w:hAnsi="ＭＳ ゴシック"/>
                <w:sz w:val="16"/>
                <w:szCs w:val="16"/>
              </w:rPr>
              <w:t>」</w:t>
            </w:r>
            <w:r w:rsidRPr="00651401">
              <w:rPr>
                <w:rFonts w:ascii="ＭＳ 明朝" w:eastAsia="ＭＳ 明朝" w:hAnsi="ＭＳ 明朝"/>
                <w:sz w:val="16"/>
                <w:szCs w:val="16"/>
              </w:rPr>
              <w:t>が適所に配置されており，生徒の興味・関</w:t>
            </w:r>
          </w:p>
          <w:p w:rsidR="000B06D6" w:rsidRPr="009A0D71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/>
                <w:sz w:val="16"/>
                <w:szCs w:val="16"/>
              </w:rPr>
              <w:t>心，授業や学習の進</w:t>
            </w: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度に応じて取り組むことができるように配慮されている。</w:t>
            </w:r>
          </w:p>
        </w:tc>
      </w:tr>
      <w:tr w:rsidR="000B06D6" w:rsidRPr="00072565" w:rsidTr="005B123A">
        <w:trPr>
          <w:cantSplit/>
          <w:trHeight w:val="1134"/>
        </w:trPr>
        <w:tc>
          <w:tcPr>
            <w:tcW w:w="704" w:type="dxa"/>
            <w:textDirection w:val="tbRlV"/>
          </w:tcPr>
          <w:p w:rsidR="000B06D6" w:rsidRPr="009A0D71" w:rsidRDefault="000B06D6" w:rsidP="0033388C">
            <w:pPr>
              <w:spacing w:beforeLines="50" w:before="180"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0D71">
              <w:rPr>
                <w:rFonts w:ascii="ＭＳ ゴシック" w:eastAsia="ＭＳ ゴシック" w:hAnsi="ＭＳ ゴシック"/>
                <w:sz w:val="18"/>
                <w:szCs w:val="16"/>
              </w:rPr>
              <w:lastRenderedPageBreak/>
              <w:t>表記・表現及び指導に対する工夫や配慮</w:t>
            </w:r>
          </w:p>
        </w:tc>
        <w:tc>
          <w:tcPr>
            <w:tcW w:w="2693" w:type="dxa"/>
          </w:tcPr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学習意欲を高めるための配慮が</w:t>
            </w:r>
          </w:p>
          <w:p w:rsidR="00651401" w:rsidRPr="00651401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游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なされてい</w:t>
            </w:r>
            <w:r w:rsidRPr="00651401">
              <w:rPr>
                <w:rFonts w:ascii="ＭＳ 明朝" w:eastAsia="ＭＳ 明朝" w:hAnsi="ＭＳ 明朝" w:cs="游明朝" w:hint="eastAsia"/>
                <w:sz w:val="16"/>
                <w:szCs w:val="16"/>
              </w:rPr>
              <w:t>るか。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個に応じた指導への工夫がなさ</w:t>
            </w:r>
          </w:p>
          <w:p w:rsidR="00651401" w:rsidRP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れているか。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生徒の自学自習への配慮や工夫</w:t>
            </w:r>
          </w:p>
          <w:p w:rsidR="00651401" w:rsidRP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がなされて</w:t>
            </w:r>
            <w:r w:rsidRPr="00651401">
              <w:rPr>
                <w:rFonts w:ascii="ＭＳ 明朝" w:eastAsia="ＭＳ 明朝" w:hAnsi="ＭＳ 明朝" w:cs="游明朝" w:hint="eastAsia"/>
                <w:sz w:val="16"/>
                <w:szCs w:val="16"/>
              </w:rPr>
              <w:t>いるか。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持続可能な社会をつくる力を育</w:t>
            </w:r>
          </w:p>
          <w:p w:rsid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游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成するため</w:t>
            </w:r>
            <w:r w:rsidRPr="00651401">
              <w:rPr>
                <w:rFonts w:ascii="ＭＳ 明朝" w:eastAsia="ＭＳ 明朝" w:hAnsi="ＭＳ 明朝" w:cs="游明朝" w:hint="eastAsia"/>
                <w:sz w:val="16"/>
                <w:szCs w:val="16"/>
              </w:rPr>
              <w:t>の工夫がなされてい</w:t>
            </w:r>
          </w:p>
          <w:p w:rsidR="00651401" w:rsidRP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游明朝" w:hint="eastAsia"/>
                <w:sz w:val="16"/>
                <w:szCs w:val="16"/>
              </w:rPr>
              <w:t>るか。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用語・記号の取り上げ方や記述の</w:t>
            </w:r>
          </w:p>
          <w:p w:rsidR="00651401" w:rsidRP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しかたは</w:t>
            </w:r>
            <w:r w:rsidRPr="00651401">
              <w:rPr>
                <w:rFonts w:ascii="ＭＳ 明朝" w:eastAsia="ＭＳ 明朝" w:hAnsi="ＭＳ 明朝" w:cs="游明朝" w:hint="eastAsia"/>
                <w:sz w:val="16"/>
                <w:szCs w:val="16"/>
              </w:rPr>
              <w:t>適切か。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文章，図やイラストは，分かりや</w:t>
            </w:r>
          </w:p>
          <w:p w:rsidR="00651401" w:rsidRP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すいもの</w:t>
            </w:r>
            <w:r w:rsidRPr="00651401">
              <w:rPr>
                <w:rFonts w:ascii="ＭＳ 明朝" w:eastAsia="ＭＳ 明朝" w:hAnsi="ＭＳ 明朝" w:cs="游明朝" w:hint="eastAsia"/>
                <w:sz w:val="16"/>
                <w:szCs w:val="16"/>
              </w:rPr>
              <w:t>になっているか。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コンピュータやインターネット</w:t>
            </w:r>
          </w:p>
          <w:p w:rsid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游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など，</w:t>
            </w:r>
            <w:r w:rsidRPr="00651401">
              <w:rPr>
                <w:rFonts w:ascii="ＭＳ 明朝" w:eastAsia="ＭＳ 明朝" w:hAnsi="ＭＳ 明朝" w:cs="游明朝"/>
                <w:sz w:val="16"/>
                <w:szCs w:val="16"/>
              </w:rPr>
              <w:t>ICT</w:t>
            </w:r>
            <w:r w:rsidRPr="00651401">
              <w:rPr>
                <w:rFonts w:ascii="ＭＳ 明朝" w:eastAsia="ＭＳ 明朝" w:hAnsi="ＭＳ 明朝" w:cs="游明朝" w:hint="eastAsia"/>
                <w:sz w:val="16"/>
                <w:szCs w:val="16"/>
              </w:rPr>
              <w:t>の効果的な活用への配</w:t>
            </w:r>
          </w:p>
          <w:p w:rsidR="00651401" w:rsidRP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游明朝" w:hint="eastAsia"/>
                <w:sz w:val="16"/>
                <w:szCs w:val="16"/>
              </w:rPr>
              <w:t>慮や工夫がなされているか。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指導書や周辺教材での工夫や配</w:t>
            </w:r>
          </w:p>
          <w:p w:rsidR="000B06D6" w:rsidRP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慮がなされ</w:t>
            </w:r>
            <w:r w:rsidRPr="00651401">
              <w:rPr>
                <w:rFonts w:ascii="ＭＳ 明朝" w:eastAsia="ＭＳ 明朝" w:hAnsi="ＭＳ 明朝" w:cs="游明朝" w:hint="eastAsia"/>
                <w:sz w:val="16"/>
                <w:szCs w:val="16"/>
              </w:rPr>
              <w:t>ているか。</w:t>
            </w:r>
          </w:p>
        </w:tc>
        <w:tc>
          <w:tcPr>
            <w:tcW w:w="6237" w:type="dxa"/>
          </w:tcPr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終章「化学が拓く世界」で化学と社会とのつながりを示したり，コラムで学習内容</w:t>
            </w:r>
          </w:p>
          <w:p w:rsid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游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に関係する職業と</w:t>
            </w:r>
            <w:r w:rsidRPr="00651401">
              <w:rPr>
                <w:rFonts w:ascii="ＭＳ 明朝" w:eastAsia="ＭＳ 明朝" w:hAnsi="ＭＳ 明朝" w:cs="游明朝" w:hint="eastAsia"/>
                <w:sz w:val="16"/>
                <w:szCs w:val="16"/>
              </w:rPr>
              <w:t>そこで働く人を紹介したりして，学習意欲を高められるように工</w:t>
            </w:r>
          </w:p>
          <w:p w:rsidR="00651401" w:rsidRPr="00651401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游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游明朝" w:hint="eastAsia"/>
                <w:sz w:val="16"/>
                <w:szCs w:val="16"/>
              </w:rPr>
              <w:t>夫している。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節ごとに</w:t>
            </w:r>
            <w:r w:rsidRPr="009C6219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「？」（学習の問い）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と</w:t>
            </w:r>
            <w:r w:rsidRPr="009C6219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「！」（この節のポイント）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が設けられており，生</w:t>
            </w:r>
          </w:p>
          <w:p w:rsidR="00651401" w:rsidRP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徒が課題意識をもっ</w:t>
            </w:r>
            <w:r w:rsidRPr="00651401">
              <w:rPr>
                <w:rFonts w:ascii="ＭＳ 明朝" w:eastAsia="ＭＳ 明朝" w:hAnsi="ＭＳ 明朝" w:cs="游明朝" w:hint="eastAsia"/>
                <w:sz w:val="16"/>
                <w:szCs w:val="16"/>
              </w:rPr>
              <w:t>て学習が進められるように工夫されている。</w:t>
            </w:r>
          </w:p>
          <w:p w:rsidR="006D7DD0" w:rsidRDefault="00651401" w:rsidP="006D7DD0">
            <w:pPr>
              <w:spacing w:line="0" w:lineRule="atLeas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「問」や「章末問題」「総合問題」には，巻末に</w:t>
            </w:r>
            <w:r w:rsidRPr="009C6219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解答・解説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が示されており，</w:t>
            </w:r>
            <w:r w:rsidRPr="009C6219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自学自</w:t>
            </w:r>
          </w:p>
          <w:p w:rsidR="00651401" w:rsidRPr="006D7DD0" w:rsidRDefault="00651401" w:rsidP="006D7DD0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9C6219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習への配慮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がなさ</w:t>
            </w:r>
            <w:r w:rsidRPr="00651401">
              <w:rPr>
                <w:rFonts w:ascii="ＭＳ 明朝" w:eastAsia="ＭＳ 明朝" w:hAnsi="ＭＳ 明朝" w:cs="游明朝" w:hint="eastAsia"/>
                <w:sz w:val="16"/>
                <w:szCs w:val="16"/>
              </w:rPr>
              <w:t>れている。</w:t>
            </w:r>
          </w:p>
          <w:p w:rsidR="00651401" w:rsidRPr="00651401" w:rsidRDefault="00651401" w:rsidP="00651401">
            <w:pPr>
              <w:spacing w:line="0" w:lineRule="atLeast"/>
              <w:rPr>
                <w:rFonts w:ascii="ＭＳ 明朝" w:eastAsia="ＭＳ 明朝" w:hAnsi="ＭＳ 明朝" w:cs="游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実験には，事故防止のための注意マークを目立つように付している。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化学を学習する上で不可欠な，指数計算や有効数字の扱いなどの数学的内容を，巻</w:t>
            </w:r>
          </w:p>
          <w:p w:rsid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游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末に資料として取</w:t>
            </w:r>
            <w:r w:rsidRPr="00651401">
              <w:rPr>
                <w:rFonts w:ascii="ＭＳ 明朝" w:eastAsia="ＭＳ 明朝" w:hAnsi="ＭＳ 明朝" w:cs="游明朝" w:hint="eastAsia"/>
                <w:sz w:val="16"/>
                <w:szCs w:val="16"/>
              </w:rPr>
              <w:t>り上げており，数学用語・記号の扱いで支障を生じることがない</w:t>
            </w:r>
          </w:p>
          <w:p w:rsidR="00651401" w:rsidRP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游明朝" w:hint="eastAsia"/>
                <w:sz w:val="16"/>
                <w:szCs w:val="16"/>
              </w:rPr>
              <w:t>ように工夫されている。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游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コラムでは，</w:t>
            </w:r>
            <w:r w:rsidRPr="00651401">
              <w:rPr>
                <w:rFonts w:ascii="ＭＳ 明朝" w:eastAsia="ＭＳ 明朝" w:hAnsi="ＭＳ 明朝" w:cs="游明朝"/>
                <w:sz w:val="16"/>
                <w:szCs w:val="16"/>
              </w:rPr>
              <w:t>SDGsに関連する内容を取り上げるとともにマークを付して強調し，意</w:t>
            </w:r>
          </w:p>
          <w:p w:rsidR="00651401" w:rsidRPr="00651401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游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游明朝"/>
                <w:sz w:val="16"/>
                <w:szCs w:val="16"/>
              </w:rPr>
              <w:t>識を高めること</w:t>
            </w:r>
            <w:r w:rsidRPr="00651401">
              <w:rPr>
                <w:rFonts w:ascii="ＭＳ 明朝" w:eastAsia="ＭＳ 明朝" w:hAnsi="ＭＳ 明朝" w:cs="游明朝" w:hint="eastAsia"/>
                <w:sz w:val="16"/>
                <w:szCs w:val="16"/>
              </w:rPr>
              <w:t>ができるように工夫されている。</w:t>
            </w:r>
          </w:p>
          <w:p w:rsidR="00651401" w:rsidRPr="00651401" w:rsidRDefault="00651401" w:rsidP="00651401">
            <w:pPr>
              <w:spacing w:line="0" w:lineRule="atLeast"/>
              <w:ind w:left="160" w:hangingChars="100" w:hanging="160"/>
              <w:rPr>
                <w:rFonts w:ascii="ＭＳ 明朝" w:eastAsia="ＭＳ 明朝" w:hAnsi="ＭＳ 明朝" w:cs="游明朝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文章は簡潔でわかりやすい表現になっている。また，鮮明でわかりやすい図や写真が，本文の記述と</w:t>
            </w:r>
            <w:r w:rsidRPr="00651401">
              <w:rPr>
                <w:rFonts w:ascii="ＭＳ 明朝" w:eastAsia="ＭＳ 明朝" w:hAnsi="ＭＳ 明朝" w:cs="游明朝" w:hint="eastAsia"/>
                <w:sz w:val="16"/>
                <w:szCs w:val="16"/>
              </w:rPr>
              <w:t>関連する箇所にふんだんに盛り込まれている。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中学校での既習の内容，実験の方法や結果，教科書の図版だけでは理解しにくい内</w:t>
            </w:r>
          </w:p>
          <w:p w:rsid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游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容などについて，</w:t>
            </w:r>
            <w:r w:rsidRPr="00651401">
              <w:rPr>
                <w:rFonts w:ascii="ＭＳ 明朝" w:eastAsia="ＭＳ 明朝" w:hAnsi="ＭＳ 明朝" w:cs="游明朝" w:hint="eastAsia"/>
                <w:sz w:val="16"/>
                <w:szCs w:val="16"/>
              </w:rPr>
              <w:t>二次元コードで情報を収集したり，動画で確認したり，アニメー</w:t>
            </w:r>
          </w:p>
          <w:p w:rsidR="00651401" w:rsidRP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游明朝" w:hint="eastAsia"/>
                <w:sz w:val="16"/>
                <w:szCs w:val="16"/>
              </w:rPr>
              <w:t>ションなどで理解を深めたりできるように工夫されている。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指導資料は「授業プリント」や「デジタル板書」，「動画」などのデジタル教材が充</w:t>
            </w:r>
          </w:p>
          <w:p w:rsid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游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実しており，</w:t>
            </w:r>
            <w:r w:rsidRPr="00651401">
              <w:rPr>
                <w:rFonts w:ascii="ＭＳ 明朝" w:eastAsia="ＭＳ 明朝" w:hAnsi="ＭＳ 明朝" w:cs="游明朝"/>
                <w:sz w:val="16"/>
                <w:szCs w:val="16"/>
              </w:rPr>
              <w:t>ICT</w:t>
            </w:r>
            <w:r w:rsidRPr="00651401">
              <w:rPr>
                <w:rFonts w:ascii="ＭＳ 明朝" w:eastAsia="ＭＳ 明朝" w:hAnsi="ＭＳ 明朝" w:cs="游明朝" w:hint="eastAsia"/>
                <w:sz w:val="16"/>
                <w:szCs w:val="16"/>
              </w:rPr>
              <w:t>を活用した授業に対応している。オンラインでの授業への対応も</w:t>
            </w:r>
          </w:p>
          <w:p w:rsidR="000B06D6" w:rsidRP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游明朝" w:hint="eastAsia"/>
                <w:sz w:val="16"/>
                <w:szCs w:val="16"/>
              </w:rPr>
              <w:t>可能である。</w:t>
            </w:r>
          </w:p>
        </w:tc>
      </w:tr>
      <w:tr w:rsidR="000B06D6" w:rsidRPr="000B06D6" w:rsidTr="005B123A">
        <w:trPr>
          <w:cantSplit/>
          <w:trHeight w:val="1134"/>
        </w:trPr>
        <w:tc>
          <w:tcPr>
            <w:tcW w:w="704" w:type="dxa"/>
            <w:textDirection w:val="tbRlV"/>
          </w:tcPr>
          <w:p w:rsidR="000B06D6" w:rsidRPr="009A0D71" w:rsidRDefault="000B06D6" w:rsidP="0033388C">
            <w:pPr>
              <w:spacing w:beforeLines="50" w:before="180"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A0D71">
              <w:rPr>
                <w:rFonts w:ascii="ＭＳ ゴシック" w:eastAsia="ＭＳ ゴシック" w:hAnsi="ＭＳ ゴシック"/>
                <w:sz w:val="18"/>
                <w:szCs w:val="18"/>
              </w:rPr>
              <w:t>印刷・造本上の配慮</w:t>
            </w:r>
          </w:p>
        </w:tc>
        <w:tc>
          <w:tcPr>
            <w:tcW w:w="2693" w:type="dxa"/>
          </w:tcPr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印刷の鮮明さ，活字の大きさ，行</w:t>
            </w:r>
          </w:p>
          <w:p w:rsidR="00651401" w:rsidRP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間，製本</w:t>
            </w: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などは適切か。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環境保全や生徒の多様な特性に</w:t>
            </w:r>
          </w:p>
          <w:p w:rsidR="000B06D6" w:rsidRP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対して配慮しているか。</w:t>
            </w:r>
          </w:p>
        </w:tc>
        <w:tc>
          <w:tcPr>
            <w:tcW w:w="6237" w:type="dxa"/>
          </w:tcPr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製本は針金を使用せず接着剤で製本してあり，金属を使用しないことによるリサイ</w:t>
            </w:r>
          </w:p>
          <w:p w:rsidR="00651401" w:rsidRP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クル性を重視して</w:t>
            </w: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いる。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本の中心までページを開くことができる製本のため，生徒が使いやすく</w:t>
            </w: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なってい</w:t>
            </w:r>
          </w:p>
          <w:p w:rsidR="00651401" w:rsidRPr="00651401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る。</w:t>
            </w:r>
          </w:p>
          <w:p w:rsidR="00651401" w:rsidRPr="00651401" w:rsidRDefault="00651401" w:rsidP="0065140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生徒の負担に配慮し，紙は品質を保持しつつ軽量な紙を使用している。</w:t>
            </w:r>
          </w:p>
          <w:p w:rsidR="00651401" w:rsidRPr="00651401" w:rsidRDefault="00651401" w:rsidP="0065140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用紙には再生紙を，インキには植物油インキを使用している。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レイアウト，色づかいなど，ユニバーサルデザインに配慮されている。また，見や</w:t>
            </w:r>
          </w:p>
          <w:p w:rsidR="000B06D6" w:rsidRP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すく読み間違えにくいユニバーサルデザインフォントを使用している。</w:t>
            </w:r>
          </w:p>
        </w:tc>
      </w:tr>
      <w:tr w:rsidR="000B06D6" w:rsidRPr="000B06D6" w:rsidTr="005B123A">
        <w:trPr>
          <w:cantSplit/>
          <w:trHeight w:val="1134"/>
        </w:trPr>
        <w:tc>
          <w:tcPr>
            <w:tcW w:w="704" w:type="dxa"/>
            <w:textDirection w:val="tbRlV"/>
          </w:tcPr>
          <w:p w:rsidR="000B06D6" w:rsidRPr="009A0D71" w:rsidRDefault="000B06D6" w:rsidP="0033388C">
            <w:pPr>
              <w:spacing w:beforeLines="50" w:before="180"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A0D71">
              <w:rPr>
                <w:rFonts w:ascii="ＭＳ ゴシック" w:eastAsia="ＭＳ ゴシック" w:hAnsi="ＭＳ ゴシック"/>
                <w:sz w:val="18"/>
                <w:szCs w:val="18"/>
              </w:rPr>
              <w:t>総合所見</w:t>
            </w:r>
          </w:p>
        </w:tc>
        <w:tc>
          <w:tcPr>
            <w:tcW w:w="2693" w:type="dxa"/>
          </w:tcPr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上記観点からみた，全体的・総合</w:t>
            </w:r>
          </w:p>
          <w:p w:rsidR="009A0D71" w:rsidRP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的な当教</w:t>
            </w: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科書の特徴。</w:t>
            </w:r>
          </w:p>
        </w:tc>
        <w:tc>
          <w:tcPr>
            <w:tcW w:w="6237" w:type="dxa"/>
          </w:tcPr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日常生活の中の気づきや自身の中に生まれる疑問から考えさせ，知識を習得させる</w:t>
            </w:r>
          </w:p>
          <w:p w:rsid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ことで，化学の本</w:t>
            </w: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質に気づき，知的好奇心を刺激し，より深く学び続ける力がつく</w:t>
            </w:r>
          </w:p>
          <w:p w:rsidR="00651401" w:rsidRP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教科書である。</w:t>
            </w:r>
          </w:p>
          <w:p w:rsidR="006D7DD0" w:rsidRDefault="00651401" w:rsidP="006D7DD0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Malgun Gothic" w:hAnsi="Malgun Gothic" w:cs="Malgun Gothic" w:hint="eastAsia"/>
                <w:sz w:val="16"/>
                <w:szCs w:val="16"/>
              </w:rPr>
              <w:t>・</w:t>
            </w:r>
            <w:r w:rsidRPr="006514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学習の問いや実験，気づき</w:t>
            </w:r>
            <w:proofErr w:type="spellStart"/>
            <w:r w:rsidRPr="00651401">
              <w:rPr>
                <w:rFonts w:ascii="ＭＳ 明朝" w:eastAsia="ＭＳ 明朝" w:hAnsi="ＭＳ 明朝"/>
                <w:sz w:val="16"/>
                <w:szCs w:val="16"/>
              </w:rPr>
              <w:t>Labo</w:t>
            </w:r>
            <w:proofErr w:type="spellEnd"/>
            <w:r w:rsidRPr="00651401">
              <w:rPr>
                <w:rFonts w:ascii="ＭＳ 明朝" w:eastAsia="ＭＳ 明朝" w:hAnsi="ＭＳ 明朝"/>
                <w:sz w:val="16"/>
                <w:szCs w:val="16"/>
              </w:rPr>
              <w:t>の考察ポイント，気づきポイント，側注の問いか</w:t>
            </w:r>
          </w:p>
          <w:p w:rsidR="006D7DD0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/>
                <w:sz w:val="16"/>
                <w:szCs w:val="16"/>
              </w:rPr>
              <w:t>けを行うことで普</w:t>
            </w: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段から知識を活用することを意識でき，しぜんと考える力がつく</w:t>
            </w:r>
          </w:p>
          <w:p w:rsidR="000B06D6" w:rsidRPr="009A0D71" w:rsidRDefault="00651401" w:rsidP="006D7DD0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651401">
              <w:rPr>
                <w:rFonts w:ascii="ＭＳ 明朝" w:eastAsia="ＭＳ 明朝" w:hAnsi="ＭＳ 明朝" w:hint="eastAsia"/>
                <w:sz w:val="16"/>
                <w:szCs w:val="16"/>
              </w:rPr>
              <w:t>入試にも強い教科書である。</w:t>
            </w:r>
          </w:p>
        </w:tc>
      </w:tr>
    </w:tbl>
    <w:p w:rsidR="000B06D6" w:rsidRPr="00651401" w:rsidRDefault="000B06D6" w:rsidP="000B06D6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sectPr w:rsidR="000B06D6" w:rsidRPr="00651401" w:rsidSect="000B06D6">
      <w:pgSz w:w="11906" w:h="16838"/>
      <w:pgMar w:top="993" w:right="991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D6"/>
    <w:rsid w:val="00072565"/>
    <w:rsid w:val="000B06D6"/>
    <w:rsid w:val="00184D2C"/>
    <w:rsid w:val="0033388C"/>
    <w:rsid w:val="0051100E"/>
    <w:rsid w:val="005B123A"/>
    <w:rsid w:val="00651401"/>
    <w:rsid w:val="006904AB"/>
    <w:rsid w:val="006B3156"/>
    <w:rsid w:val="006D7DD0"/>
    <w:rsid w:val="0072692C"/>
    <w:rsid w:val="007E5B5B"/>
    <w:rsid w:val="009A0D71"/>
    <w:rsid w:val="009C6219"/>
    <w:rsid w:val="00A51D09"/>
    <w:rsid w:val="00B7281E"/>
    <w:rsid w:val="00B81105"/>
    <w:rsid w:val="00E22E0A"/>
    <w:rsid w:val="00EE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604E3D-B209-42CF-A4BE-E49F7B2D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492</Words>
  <Characters>2807</Characters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2021-04-15T00:46:00Z</dcterms:created>
  <dcterms:modified xsi:type="dcterms:W3CDTF">2021-04-15T08:43:00Z</dcterms:modified>
</cp:coreProperties>
</file>