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FF8A" w14:textId="483209C6" w:rsidR="00D56DD9" w:rsidRPr="00564841" w:rsidRDefault="00CD4754">
      <w:pPr>
        <w:rPr>
          <w:rFonts w:asciiTheme="majorEastAsia" w:eastAsiaTheme="majorEastAsia" w:hAnsiTheme="majorEastAsia" w:cs="Kosugi Maru"/>
          <w:sz w:val="20"/>
          <w:szCs w:val="20"/>
        </w:rPr>
      </w:pPr>
      <w:r w:rsidRPr="00564841">
        <w:rPr>
          <w:rFonts w:asciiTheme="majorEastAsia" w:eastAsiaTheme="majorEastAsia" w:hAnsiTheme="majorEastAsia" w:cs="Kosugi Maru"/>
          <w:sz w:val="20"/>
          <w:szCs w:val="20"/>
        </w:rPr>
        <w:t>検討の観点（「</w:t>
      </w:r>
      <w:r w:rsidR="00A23F82" w:rsidRPr="00564841">
        <w:rPr>
          <w:rFonts w:asciiTheme="majorEastAsia" w:eastAsiaTheme="majorEastAsia" w:hAnsiTheme="majorEastAsia" w:cs="Kosugi Maru" w:hint="eastAsia"/>
          <w:sz w:val="20"/>
          <w:szCs w:val="20"/>
        </w:rPr>
        <w:t>精選言語文化</w:t>
      </w:r>
      <w:r w:rsidR="00A23F82" w:rsidRPr="00564841">
        <w:rPr>
          <w:rFonts w:asciiTheme="majorEastAsia" w:eastAsiaTheme="majorEastAsia" w:hAnsiTheme="majorEastAsia" w:cs="Kosugi Maru"/>
          <w:sz w:val="20"/>
          <w:szCs w:val="20"/>
        </w:rPr>
        <w:t xml:space="preserve">」２東書　</w:t>
      </w:r>
      <w:r w:rsidR="00A23F82" w:rsidRPr="00564841">
        <w:rPr>
          <w:rFonts w:asciiTheme="majorEastAsia" w:eastAsiaTheme="majorEastAsia" w:hAnsiTheme="majorEastAsia" w:cs="Kosugi Maru" w:hint="eastAsia"/>
          <w:sz w:val="20"/>
          <w:szCs w:val="20"/>
        </w:rPr>
        <w:t>言文</w:t>
      </w:r>
      <w:r w:rsidR="00070FB2" w:rsidRPr="00564841">
        <w:rPr>
          <w:rFonts w:asciiTheme="majorEastAsia" w:eastAsiaTheme="majorEastAsia" w:hAnsiTheme="majorEastAsia" w:cs="Kosugi Maru" w:hint="eastAsia"/>
          <w:sz w:val="20"/>
          <w:szCs w:val="20"/>
        </w:rPr>
        <w:t>002-902</w:t>
      </w:r>
      <w:r w:rsidR="00692DFA" w:rsidRPr="00564841">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14:paraId="057EAC33" w14:textId="77777777">
        <w:tc>
          <w:tcPr>
            <w:tcW w:w="2376" w:type="dxa"/>
            <w:gridSpan w:val="2"/>
            <w:shd w:val="clear" w:color="auto" w:fill="auto"/>
            <w:vAlign w:val="center"/>
          </w:tcPr>
          <w:p w14:paraId="29840E0D"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項目</w:t>
            </w:r>
          </w:p>
        </w:tc>
        <w:tc>
          <w:tcPr>
            <w:tcW w:w="3402" w:type="dxa"/>
            <w:shd w:val="clear" w:color="auto" w:fill="auto"/>
            <w:vAlign w:val="center"/>
          </w:tcPr>
          <w:p w14:paraId="4A1BD60C"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観点</w:t>
            </w:r>
          </w:p>
        </w:tc>
        <w:tc>
          <w:tcPr>
            <w:tcW w:w="9643" w:type="dxa"/>
            <w:shd w:val="clear" w:color="auto" w:fill="auto"/>
            <w:vAlign w:val="center"/>
          </w:tcPr>
          <w:p w14:paraId="28EF7595"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特色・具体例</w:t>
            </w:r>
          </w:p>
        </w:tc>
      </w:tr>
      <w:tr w:rsidR="00D56DD9" w:rsidRPr="00820F1E" w14:paraId="5CC0762E" w14:textId="77777777">
        <w:tc>
          <w:tcPr>
            <w:tcW w:w="397" w:type="dxa"/>
            <w:shd w:val="clear" w:color="auto" w:fill="auto"/>
            <w:vAlign w:val="center"/>
          </w:tcPr>
          <w:p w14:paraId="67A0D68C"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1</w:t>
            </w:r>
          </w:p>
        </w:tc>
        <w:tc>
          <w:tcPr>
            <w:tcW w:w="1979" w:type="dxa"/>
            <w:shd w:val="clear" w:color="auto" w:fill="auto"/>
            <w:vAlign w:val="center"/>
          </w:tcPr>
          <w:p w14:paraId="2053B7A4"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shd w:val="clear" w:color="auto" w:fill="auto"/>
            <w:vAlign w:val="center"/>
          </w:tcPr>
          <w:p w14:paraId="46B8CEF1"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学習指導要領の教科の目標を達成するために必要な教材が適切に用意されているか。</w:t>
            </w:r>
          </w:p>
          <w:p w14:paraId="3AE7CE84"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基礎的・基本的事項の理解や習得のために適切な配慮がなされているか。</w:t>
            </w:r>
          </w:p>
        </w:tc>
        <w:tc>
          <w:tcPr>
            <w:tcW w:w="9643" w:type="dxa"/>
            <w:shd w:val="clear" w:color="auto" w:fill="auto"/>
            <w:vAlign w:val="center"/>
          </w:tcPr>
          <w:p w14:paraId="69EA650F" w14:textId="7B3979FD" w:rsidR="0070504A" w:rsidRPr="00820F1E" w:rsidRDefault="00692DFA" w:rsidP="0070504A">
            <w:pPr>
              <w:ind w:left="180" w:hangingChars="10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言語文化への理解を深め</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総合的な国語力が育成できるように</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教材は厳選され</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バランスよく配列されている。現代文編は</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小説・随筆・詩歌の学習がバランスよく組み込まれており</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また</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古文編・漢文編では古文・漢文の教材がバランスよく配置され</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主要ジャンルの重点学習が徹底できるように配慮されている。</w:t>
            </w:r>
            <w:r w:rsidR="0070504A" w:rsidRPr="00820F1E">
              <w:rPr>
                <w:rFonts w:asciiTheme="minorEastAsia" w:hAnsiTheme="minorEastAsia" w:cs="Kosugi Maru"/>
                <w:sz w:val="18"/>
                <w:szCs w:val="18"/>
              </w:rPr>
              <w:t xml:space="preserve"> </w:t>
            </w:r>
          </w:p>
          <w:p w14:paraId="6033D8BF" w14:textId="25E3D011"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現代文編では</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豊かな心情や感性が身につけられる定評教材が数多く採録されている。古文編は各時代の代表的な教材</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漢文編は故事・寓話・詩・史話・思想などから基本教材が選ばれている。</w:t>
            </w:r>
          </w:p>
          <w:p w14:paraId="400F1198" w14:textId="55B4119A"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各編の適切な箇所に言語活動教材が設けられており</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「書く」「読む」の指導を行うための教材が適切に用意されている。</w:t>
            </w:r>
          </w:p>
          <w:p w14:paraId="1D22D7E0" w14:textId="7A31809F" w:rsidR="00D56DD9" w:rsidRPr="00820F1E" w:rsidRDefault="00692DFA" w:rsidP="0070504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手引きには</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教材を的確に理解するための設問が吟味され</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示されている。また</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現代文編の「注意すべき語句」「漢字と語彙」など</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重要語句の意味･用法や常用漢字が身につけられるように工夫されている。</w:t>
            </w:r>
          </w:p>
        </w:tc>
      </w:tr>
      <w:tr w:rsidR="00D56DD9" w:rsidRPr="00820F1E" w14:paraId="6E96AF9C" w14:textId="77777777">
        <w:tc>
          <w:tcPr>
            <w:tcW w:w="397" w:type="dxa"/>
            <w:shd w:val="clear" w:color="auto" w:fill="auto"/>
            <w:vAlign w:val="center"/>
          </w:tcPr>
          <w:p w14:paraId="5E829954"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2</w:t>
            </w:r>
          </w:p>
        </w:tc>
        <w:tc>
          <w:tcPr>
            <w:tcW w:w="1979" w:type="dxa"/>
            <w:shd w:val="clear" w:color="auto" w:fill="auto"/>
            <w:vAlign w:val="center"/>
          </w:tcPr>
          <w:p w14:paraId="53410474"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shd w:val="clear" w:color="auto" w:fill="auto"/>
            <w:vAlign w:val="center"/>
          </w:tcPr>
          <w:p w14:paraId="0054C749" w14:textId="67A74610"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内容の組織・配列は</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学習指導を有効に進められるように考慮されているか。</w:t>
            </w:r>
          </w:p>
          <w:p w14:paraId="4F6DF9A2" w14:textId="74B25B98"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分量は学習指導を有効に進められるように考慮され</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精選されているか。</w:t>
            </w:r>
          </w:p>
          <w:p w14:paraId="490EABF2"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中高の接続に対する配慮がなされているか。</w:t>
            </w:r>
          </w:p>
          <w:p w14:paraId="52E740F3"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弾力的な取り扱いに対する配慮がなされているか。</w:t>
            </w:r>
          </w:p>
        </w:tc>
        <w:tc>
          <w:tcPr>
            <w:tcW w:w="9643" w:type="dxa"/>
            <w:shd w:val="clear" w:color="auto" w:fill="auto"/>
            <w:vAlign w:val="center"/>
          </w:tcPr>
          <w:p w14:paraId="0CB3828C" w14:textId="7EADCF74" w:rsidR="00692DFA"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古文編</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漢文編の</w:t>
            </w:r>
            <w:r w:rsidR="0070504A" w:rsidRPr="00820F1E">
              <w:rPr>
                <w:rFonts w:asciiTheme="minorEastAsia" w:hAnsiTheme="minorEastAsia" w:cs="Kosugi Maru"/>
                <w:sz w:val="18"/>
                <w:szCs w:val="18"/>
              </w:rPr>
              <w:t>3</w:t>
            </w:r>
            <w:r w:rsidR="0070504A" w:rsidRPr="00820F1E">
              <w:rPr>
                <w:rFonts w:asciiTheme="minorEastAsia" w:hAnsiTheme="minorEastAsia" w:cs="ＭＳ 明朝" w:hint="eastAsia"/>
                <w:sz w:val="18"/>
                <w:szCs w:val="18"/>
              </w:rPr>
              <w:t>部構成で</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現場の指導実態に合わせて扱えるように配慮されている。</w:t>
            </w:r>
            <w:r w:rsidR="0070504A" w:rsidRPr="00820F1E">
              <w:rPr>
                <w:rFonts w:asciiTheme="minorEastAsia" w:hAnsiTheme="minorEastAsia" w:cs="Kosugi Maru"/>
                <w:sz w:val="18"/>
                <w:szCs w:val="18"/>
              </w:rPr>
              <w:t xml:space="preserve"> </w:t>
            </w:r>
          </w:p>
          <w:p w14:paraId="5DA3E749" w14:textId="1C60A8BC"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古典文法</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漢文句法を学習するコラム（「古文学習のしるべ」など）は教科書の用例をもとに解説されており</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附録の「古文重要語句索引」「漢文句法・重要語のまとめ」は</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脚注欄の「古文重要語句」「助字・句法」との関連もつけられていて</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指導しやすい。</w:t>
            </w:r>
          </w:p>
          <w:p w14:paraId="73ECBEB9" w14:textId="66B060F3"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古文編</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漢文編ともに読解力の育成・定着をはかることができるように配慮されており</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分量も適切である。</w:t>
            </w:r>
          </w:p>
          <w:p w14:paraId="5C5DABED" w14:textId="22383764"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現代文編の手引きや</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古文編・漢文編の入門単元は</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中学校での学習にも配慮されており</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高校の学習へスムーズに移行することができる。</w:t>
            </w:r>
          </w:p>
          <w:p w14:paraId="10999285" w14:textId="78F806BC"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70504A" w:rsidRPr="00820F1E">
              <w:rPr>
                <w:rFonts w:asciiTheme="minorEastAsia" w:hAnsiTheme="minorEastAsia" w:cs="ＭＳ 明朝" w:hint="eastAsia"/>
                <w:sz w:val="18"/>
                <w:szCs w:val="18"/>
              </w:rPr>
              <w:t>参考教材が適宜設けられており</w:t>
            </w:r>
            <w:r w:rsidR="00145044">
              <w:rPr>
                <w:rFonts w:asciiTheme="minorEastAsia" w:hAnsiTheme="minorEastAsia" w:cs="ＭＳ 明朝" w:hint="eastAsia"/>
                <w:sz w:val="18"/>
                <w:szCs w:val="18"/>
              </w:rPr>
              <w:t>、</w:t>
            </w:r>
            <w:r w:rsidR="0070504A" w:rsidRPr="00820F1E">
              <w:rPr>
                <w:rFonts w:asciiTheme="minorEastAsia" w:hAnsiTheme="minorEastAsia" w:cs="ＭＳ 明朝" w:hint="eastAsia"/>
                <w:sz w:val="18"/>
                <w:szCs w:val="18"/>
              </w:rPr>
              <w:t>生徒が学習を深めるための配慮がなされている。</w:t>
            </w:r>
          </w:p>
        </w:tc>
      </w:tr>
      <w:tr w:rsidR="00D56DD9" w:rsidRPr="00820F1E" w14:paraId="7E04E49C" w14:textId="77777777">
        <w:tc>
          <w:tcPr>
            <w:tcW w:w="397" w:type="dxa"/>
            <w:shd w:val="clear" w:color="auto" w:fill="auto"/>
            <w:vAlign w:val="center"/>
          </w:tcPr>
          <w:p w14:paraId="25DBF5D3"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3</w:t>
            </w:r>
          </w:p>
        </w:tc>
        <w:tc>
          <w:tcPr>
            <w:tcW w:w="1979" w:type="dxa"/>
            <w:shd w:val="clear" w:color="auto" w:fill="auto"/>
            <w:vAlign w:val="center"/>
          </w:tcPr>
          <w:p w14:paraId="027266C3"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shd w:val="clear" w:color="auto" w:fill="auto"/>
            <w:vAlign w:val="center"/>
          </w:tcPr>
          <w:p w14:paraId="79DD08C6"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＊学習意欲を高めるための配慮がなされているか。</w:t>
            </w:r>
          </w:p>
          <w:p w14:paraId="2FA68E24"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＊用語・記号の取り上げ方や記述の仕方は適切か。</w:t>
            </w:r>
          </w:p>
          <w:p w14:paraId="23A7CF60"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＊生徒の自学自習への配慮や工夫がなされているか。</w:t>
            </w:r>
          </w:p>
          <w:p w14:paraId="77CB569C"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＊指導書や周辺教材での工夫や配慮がなされているか。</w:t>
            </w:r>
          </w:p>
        </w:tc>
        <w:tc>
          <w:tcPr>
            <w:tcW w:w="9643" w:type="dxa"/>
            <w:shd w:val="clear" w:color="auto" w:fill="auto"/>
            <w:vAlign w:val="center"/>
          </w:tcPr>
          <w:p w14:paraId="4EC69C7A" w14:textId="48B2D32E"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現代文編は</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定評教材を軸に</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現代の作者や筆者の教材も積極的に採録されており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学習意欲が高まるように配慮されている。また</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コラム「小説の読み方」や</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「現代文の窓」によって</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教材の内容を深めたり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文章の種類に応じた読解の仕方を学んだりすることができる。</w:t>
            </w:r>
            <w:r w:rsidR="00E7123D" w:rsidRPr="00820F1E">
              <w:rPr>
                <w:rFonts w:asciiTheme="minorEastAsia" w:hAnsiTheme="minorEastAsia" w:cs="Kosugi Maru"/>
                <w:sz w:val="18"/>
                <w:szCs w:val="18"/>
              </w:rPr>
              <w:t xml:space="preserve"> </w:t>
            </w:r>
          </w:p>
          <w:p w14:paraId="346DCD43" w14:textId="1F9E358B"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古文編・漢文編には</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学習内容と関連づけて古典への理解を深めるコラム「古文の窓」「漢文の窓」などが豊富に配置されている。また</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資料性の高い写真・図版が適切に掲載されている。特に巻末のカラー図版は資料性が高く</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生徒の古典学習に対する意欲が高められるように工夫されている。</w:t>
            </w:r>
          </w:p>
          <w:p w14:paraId="73684E1E" w14:textId="1ED666B2"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用語・記号は統一されており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記述の仕方も適切である。</w:t>
            </w:r>
          </w:p>
          <w:p w14:paraId="0389B962" w14:textId="6D748805" w:rsidR="00D56DD9" w:rsidRPr="00820F1E" w:rsidRDefault="00692DFA">
            <w:pPr>
              <w:spacing w:line="260" w:lineRule="auto"/>
              <w:ind w:left="180" w:hanging="180"/>
              <w:rPr>
                <w:rFonts w:asciiTheme="minorEastAsia" w:hAnsiTheme="minorEastAsia" w:cs="ＭＳ 明朝"/>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巻末には「近代文学史キーワード」「読書案内」などの附録が用意されており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生徒の自学自習に役立つ。</w:t>
            </w:r>
          </w:p>
          <w:p w14:paraId="5599880B" w14:textId="67767BF6" w:rsidR="00E7123D" w:rsidRPr="00820F1E" w:rsidRDefault="00E7123D">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Pr="00820F1E">
              <w:rPr>
                <w:rFonts w:asciiTheme="minorEastAsia" w:hAnsiTheme="minorEastAsia" w:cs="ＭＳ 明朝" w:hint="eastAsia"/>
                <w:sz w:val="18"/>
                <w:szCs w:val="18"/>
              </w:rPr>
              <w:t>教科書を支援する指導書や周辺教材などが充実しており</w:t>
            </w:r>
            <w:r w:rsidR="00145044">
              <w:rPr>
                <w:rFonts w:asciiTheme="minorEastAsia" w:hAnsiTheme="minorEastAsia" w:cs="ＭＳ 明朝" w:hint="eastAsia"/>
                <w:sz w:val="18"/>
                <w:szCs w:val="18"/>
              </w:rPr>
              <w:t>、</w:t>
            </w:r>
            <w:r w:rsidRPr="00820F1E">
              <w:rPr>
                <w:rFonts w:asciiTheme="minorEastAsia" w:hAnsiTheme="minorEastAsia" w:cs="ＭＳ 明朝" w:hint="eastAsia"/>
                <w:sz w:val="18"/>
                <w:szCs w:val="18"/>
              </w:rPr>
              <w:t>指導しやすく学習しやすい教科書である。</w:t>
            </w:r>
          </w:p>
        </w:tc>
      </w:tr>
      <w:tr w:rsidR="00D56DD9" w:rsidRPr="00820F1E" w14:paraId="6200ECA6" w14:textId="77777777">
        <w:tc>
          <w:tcPr>
            <w:tcW w:w="397" w:type="dxa"/>
            <w:shd w:val="clear" w:color="auto" w:fill="auto"/>
            <w:vAlign w:val="center"/>
          </w:tcPr>
          <w:p w14:paraId="1CC333FA"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4</w:t>
            </w:r>
          </w:p>
        </w:tc>
        <w:tc>
          <w:tcPr>
            <w:tcW w:w="1979" w:type="dxa"/>
            <w:shd w:val="clear" w:color="auto" w:fill="auto"/>
            <w:vAlign w:val="center"/>
          </w:tcPr>
          <w:p w14:paraId="07ADC8AD"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shd w:val="clear" w:color="auto" w:fill="auto"/>
            <w:vAlign w:val="center"/>
          </w:tcPr>
          <w:p w14:paraId="30F859EF" w14:textId="0DA7136E"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＊印刷の鮮明さ</w:t>
            </w:r>
            <w:r w:rsidR="00145044">
              <w:rPr>
                <w:rFonts w:asciiTheme="minorEastAsia" w:hAnsiTheme="minorEastAsia" w:cs="Kosugi Maru"/>
                <w:sz w:val="18"/>
                <w:szCs w:val="18"/>
              </w:rPr>
              <w:t>、</w:t>
            </w:r>
            <w:r w:rsidRPr="00820F1E">
              <w:rPr>
                <w:rFonts w:asciiTheme="minorEastAsia" w:hAnsiTheme="minorEastAsia" w:cs="Kosugi Maru"/>
                <w:sz w:val="18"/>
                <w:szCs w:val="18"/>
              </w:rPr>
              <w:t>活字の大きさ</w:t>
            </w:r>
            <w:r w:rsidR="00145044">
              <w:rPr>
                <w:rFonts w:asciiTheme="minorEastAsia" w:hAnsiTheme="minorEastAsia" w:cs="Kosugi Maru"/>
                <w:sz w:val="18"/>
                <w:szCs w:val="18"/>
              </w:rPr>
              <w:t>、</w:t>
            </w:r>
            <w:r w:rsidRPr="00820F1E">
              <w:rPr>
                <w:rFonts w:asciiTheme="minorEastAsia" w:hAnsiTheme="minorEastAsia" w:cs="Kosugi Maru"/>
                <w:sz w:val="18"/>
                <w:szCs w:val="18"/>
              </w:rPr>
              <w:t>行間</w:t>
            </w:r>
            <w:r w:rsidR="00145044">
              <w:rPr>
                <w:rFonts w:asciiTheme="minorEastAsia" w:hAnsiTheme="minorEastAsia" w:cs="Kosugi Maru"/>
                <w:sz w:val="18"/>
                <w:szCs w:val="18"/>
              </w:rPr>
              <w:t>、</w:t>
            </w:r>
            <w:r w:rsidRPr="00820F1E">
              <w:rPr>
                <w:rFonts w:asciiTheme="minorEastAsia" w:hAnsiTheme="minorEastAsia" w:cs="Kosugi Maru"/>
                <w:sz w:val="18"/>
                <w:szCs w:val="18"/>
              </w:rPr>
              <w:t>製本などは適切か。</w:t>
            </w:r>
          </w:p>
          <w:p w14:paraId="429EEB6F"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＊環境保全や生徒の多様な特性に配慮がなされているか。</w:t>
            </w:r>
          </w:p>
        </w:tc>
        <w:tc>
          <w:tcPr>
            <w:tcW w:w="9643" w:type="dxa"/>
            <w:shd w:val="clear" w:color="auto" w:fill="auto"/>
            <w:vAlign w:val="center"/>
          </w:tcPr>
          <w:p w14:paraId="65BAD158" w14:textId="348D7DE4"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活字は鮮明で美しく</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文字の大きさ</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行間も適切で読みやすい。写真</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挿し絵も鮮明で効果的である。</w:t>
            </w:r>
            <w:r w:rsidR="00E7123D" w:rsidRPr="00820F1E">
              <w:rPr>
                <w:rFonts w:asciiTheme="minorEastAsia" w:hAnsiTheme="minorEastAsia" w:cs="Kosugi Maru"/>
                <w:sz w:val="18"/>
                <w:szCs w:val="18"/>
              </w:rPr>
              <w:t xml:space="preserve"> </w:t>
            </w:r>
          </w:p>
          <w:p w14:paraId="4AFE1CDF" w14:textId="0152B9B3" w:rsidR="00D56DD9" w:rsidRPr="00820F1E" w:rsidRDefault="00692DFA">
            <w:pPr>
              <w:spacing w:line="260" w:lineRule="auto"/>
              <w:ind w:left="180" w:hanging="180"/>
              <w:rPr>
                <w:rFonts w:asciiTheme="minorEastAsia" w:hAnsiTheme="minorEastAsia" w:cs="Kosugi Maru"/>
                <w:sz w:val="18"/>
                <w:szCs w:val="18"/>
              </w:rPr>
            </w:pPr>
            <w:bookmarkStart w:id="0" w:name="_gjdgxs" w:colFirst="0" w:colLast="0"/>
            <w:bookmarkEnd w:id="0"/>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製本は堅牢で</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軽量な紙が使用されており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生徒の負担に配慮されている。</w:t>
            </w:r>
          </w:p>
          <w:p w14:paraId="11A6732D" w14:textId="24378CA5"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図の色使いなどは</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色覚特性への配慮を含むユニバーサルデザインとなっており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全ページにわたって配色が工夫されており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見やすい紙面になっている。</w:t>
            </w:r>
          </w:p>
          <w:p w14:paraId="399D48DC" w14:textId="6BCE0030"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本文の用紙には再生紙と植物油インキが使用されており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地球環境や資源に及ぼす影響も考慮されている。</w:t>
            </w:r>
          </w:p>
        </w:tc>
      </w:tr>
      <w:tr w:rsidR="00D56DD9" w:rsidRPr="00820F1E" w14:paraId="1750A5E8" w14:textId="77777777">
        <w:tc>
          <w:tcPr>
            <w:tcW w:w="397" w:type="dxa"/>
            <w:shd w:val="clear" w:color="auto" w:fill="auto"/>
            <w:vAlign w:val="center"/>
          </w:tcPr>
          <w:p w14:paraId="58837624"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5</w:t>
            </w:r>
          </w:p>
        </w:tc>
        <w:tc>
          <w:tcPr>
            <w:tcW w:w="1979" w:type="dxa"/>
            <w:shd w:val="clear" w:color="auto" w:fill="auto"/>
            <w:vAlign w:val="center"/>
          </w:tcPr>
          <w:p w14:paraId="46583B1D"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shd w:val="clear" w:color="auto" w:fill="auto"/>
            <w:vAlign w:val="center"/>
          </w:tcPr>
          <w:p w14:paraId="41E0A0ED" w14:textId="28C4C8C1"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＊上記観点から見た</w:t>
            </w:r>
            <w:r w:rsidR="00145044">
              <w:rPr>
                <w:rFonts w:asciiTheme="minorEastAsia" w:hAnsiTheme="minorEastAsia" w:cs="Kosugi Maru"/>
                <w:sz w:val="18"/>
                <w:szCs w:val="18"/>
              </w:rPr>
              <w:t>、</w:t>
            </w:r>
            <w:r w:rsidRPr="00820F1E">
              <w:rPr>
                <w:rFonts w:asciiTheme="minorEastAsia" w:hAnsiTheme="minorEastAsia" w:cs="Kosugi Maru"/>
                <w:sz w:val="18"/>
                <w:szCs w:val="18"/>
              </w:rPr>
              <w:t>全体的・総合的な当教科書の特徴</w:t>
            </w:r>
          </w:p>
        </w:tc>
        <w:tc>
          <w:tcPr>
            <w:tcW w:w="9643" w:type="dxa"/>
            <w:shd w:val="clear" w:color="auto" w:fill="auto"/>
            <w:vAlign w:val="center"/>
          </w:tcPr>
          <w:p w14:paraId="618A7252" w14:textId="1EE28F87" w:rsidR="00D56DD9" w:rsidRPr="00820F1E" w:rsidRDefault="00692DFA" w:rsidP="00820F1E">
            <w:pPr>
              <w:ind w:left="180" w:hangingChars="100" w:hanging="180"/>
              <w:rPr>
                <w:rFonts w:asciiTheme="minorEastAsia" w:hAnsiTheme="minorEastAsia" w:cs="Kosugi Maru"/>
                <w:sz w:val="18"/>
                <w:szCs w:val="18"/>
              </w:rPr>
            </w:pPr>
            <w:r w:rsidRPr="00820F1E">
              <w:rPr>
                <w:rFonts w:asciiTheme="minorEastAsia" w:hAnsiTheme="minorEastAsia" w:cs="Kosugi Maru"/>
                <w:sz w:val="18"/>
                <w:szCs w:val="18"/>
              </w:rPr>
              <w:t>○</w:t>
            </w:r>
            <w:r w:rsidR="00E7123D" w:rsidRPr="00820F1E">
              <w:rPr>
                <w:rFonts w:asciiTheme="minorEastAsia" w:hAnsiTheme="minorEastAsia" w:cs="ＭＳ 明朝" w:hint="eastAsia"/>
                <w:sz w:val="18"/>
                <w:szCs w:val="18"/>
              </w:rPr>
              <w:t>現代文編</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古文編</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漢文編とも</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質的に優れた教材が選択されており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分量も妥当である。また</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教材の配列にもきめ細かな配慮がなされており</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言語文化への理解を深め</w:t>
            </w:r>
            <w:r w:rsidR="00145044">
              <w:rPr>
                <w:rFonts w:asciiTheme="minorEastAsia" w:hAnsiTheme="minorEastAsia" w:cs="ＭＳ 明朝" w:hint="eastAsia"/>
                <w:sz w:val="18"/>
                <w:szCs w:val="18"/>
              </w:rPr>
              <w:t>、</w:t>
            </w:r>
            <w:r w:rsidR="00E7123D" w:rsidRPr="00820F1E">
              <w:rPr>
                <w:rFonts w:asciiTheme="minorEastAsia" w:hAnsiTheme="minorEastAsia" w:cs="ＭＳ 明朝" w:hint="eastAsia"/>
                <w:sz w:val="18"/>
                <w:szCs w:val="18"/>
              </w:rPr>
              <w:t>総合的な国語力を育成することに適した教科書である。</w:t>
            </w:r>
          </w:p>
        </w:tc>
      </w:tr>
    </w:tbl>
    <w:p w14:paraId="0BF98143" w14:textId="5778E25E" w:rsidR="00D56DD9" w:rsidRPr="00564841" w:rsidRDefault="00A23F82">
      <w:pPr>
        <w:tabs>
          <w:tab w:val="left" w:pos="8460"/>
        </w:tabs>
        <w:jc w:val="right"/>
        <w:rPr>
          <w:rFonts w:asciiTheme="majorEastAsia" w:eastAsiaTheme="majorEastAsia" w:hAnsiTheme="majorEastAsia" w:cs="Kosugi Maru"/>
        </w:rPr>
      </w:pPr>
      <w:r w:rsidRPr="00564841">
        <w:rPr>
          <w:rFonts w:asciiTheme="majorEastAsia" w:eastAsiaTheme="majorEastAsia" w:hAnsiTheme="majorEastAsia" w:cs="Kosugi Maru" w:hint="eastAsia"/>
          <w:sz w:val="20"/>
          <w:szCs w:val="20"/>
        </w:rPr>
        <w:t>令和</w:t>
      </w:r>
      <w:r w:rsidR="00070FB2" w:rsidRPr="00564841">
        <w:rPr>
          <w:rFonts w:asciiTheme="majorEastAsia" w:eastAsiaTheme="majorEastAsia" w:hAnsiTheme="majorEastAsia" w:cs="Kosugi Maru" w:hint="eastAsia"/>
          <w:sz w:val="20"/>
          <w:szCs w:val="20"/>
        </w:rPr>
        <w:t>８</w:t>
      </w:r>
      <w:r w:rsidR="00692DFA" w:rsidRPr="00564841">
        <w:rPr>
          <w:rFonts w:asciiTheme="majorEastAsia" w:eastAsiaTheme="majorEastAsia" w:hAnsiTheme="majorEastAsia" w:cs="Kosugi Maru"/>
          <w:sz w:val="20"/>
          <w:szCs w:val="20"/>
        </w:rPr>
        <w:t>年度用 高等学校教科書内容解説資料</w:t>
      </w:r>
    </w:p>
    <w:sectPr w:rsidR="00D56DD9" w:rsidRPr="0056484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379C" w14:textId="77777777" w:rsidR="00A0214A" w:rsidRDefault="00A0214A" w:rsidP="0070504A">
      <w:r>
        <w:separator/>
      </w:r>
    </w:p>
  </w:endnote>
  <w:endnote w:type="continuationSeparator" w:id="0">
    <w:p w14:paraId="025E53E1" w14:textId="77777777" w:rsidR="00A0214A" w:rsidRDefault="00A0214A"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6486" w14:textId="77777777" w:rsidR="00A0214A" w:rsidRDefault="00A0214A" w:rsidP="0070504A">
      <w:r>
        <w:separator/>
      </w:r>
    </w:p>
  </w:footnote>
  <w:footnote w:type="continuationSeparator" w:id="0">
    <w:p w14:paraId="77F260E5" w14:textId="77777777" w:rsidR="00A0214A" w:rsidRDefault="00A0214A" w:rsidP="0070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70FB2"/>
    <w:rsid w:val="00145044"/>
    <w:rsid w:val="00531748"/>
    <w:rsid w:val="00564841"/>
    <w:rsid w:val="00692DFA"/>
    <w:rsid w:val="0070504A"/>
    <w:rsid w:val="00816B13"/>
    <w:rsid w:val="00820F1E"/>
    <w:rsid w:val="00845474"/>
    <w:rsid w:val="009D3957"/>
    <w:rsid w:val="00A0214A"/>
    <w:rsid w:val="00A23F82"/>
    <w:rsid w:val="00AB6218"/>
    <w:rsid w:val="00CD4754"/>
    <w:rsid w:val="00CE4237"/>
    <w:rsid w:val="00D02DAF"/>
    <w:rsid w:val="00D4292B"/>
    <w:rsid w:val="00D56DD9"/>
    <w:rsid w:val="00E200CB"/>
    <w:rsid w:val="00E21CA4"/>
    <w:rsid w:val="00E64B88"/>
    <w:rsid w:val="00E71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D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2022-04-14T09:38:00Z</dcterms:created>
  <dcterms:modified xsi:type="dcterms:W3CDTF">2025-03-31T05:56:00Z</dcterms:modified>
</cp:coreProperties>
</file>