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D9" w:rsidRPr="00A45ADD" w:rsidRDefault="00CD4754">
      <w:pPr>
        <w:rPr>
          <w:rFonts w:asciiTheme="majorEastAsia" w:eastAsiaTheme="majorEastAsia" w:hAnsiTheme="majorEastAsia" w:cs="Kosugi Maru"/>
          <w:sz w:val="20"/>
          <w:szCs w:val="20"/>
        </w:rPr>
      </w:pPr>
      <w:bookmarkStart w:id="0" w:name="_GoBack"/>
      <w:bookmarkEnd w:id="0"/>
      <w:r w:rsidRPr="00A45ADD">
        <w:rPr>
          <w:rFonts w:asciiTheme="majorEastAsia" w:eastAsiaTheme="majorEastAsia" w:hAnsiTheme="majorEastAsia" w:cs="Kosugi Maru"/>
          <w:sz w:val="20"/>
          <w:szCs w:val="20"/>
        </w:rPr>
        <w:t>検討の観点（「</w:t>
      </w:r>
      <w:r w:rsidR="00973416">
        <w:rPr>
          <w:rFonts w:asciiTheme="majorEastAsia" w:eastAsiaTheme="majorEastAsia" w:hAnsiTheme="majorEastAsia" w:cs="Kosugi Maru" w:hint="eastAsia"/>
          <w:sz w:val="20"/>
          <w:szCs w:val="20"/>
        </w:rPr>
        <w:t>新編古典探究</w:t>
      </w:r>
      <w:r w:rsidR="00692DFA" w:rsidRPr="00A45ADD">
        <w:rPr>
          <w:rFonts w:asciiTheme="majorEastAsia" w:eastAsiaTheme="majorEastAsia" w:hAnsiTheme="majorEastAsia" w:cs="Kosugi Maru"/>
          <w:sz w:val="20"/>
          <w:szCs w:val="20"/>
        </w:rPr>
        <w:t xml:space="preserve">」２東書　</w:t>
      </w:r>
      <w:r w:rsidR="00BF3FCB">
        <w:rPr>
          <w:rFonts w:asciiTheme="majorEastAsia" w:eastAsiaTheme="majorEastAsia" w:hAnsiTheme="majorEastAsia" w:cs="Kosugi Maru" w:hint="eastAsia"/>
          <w:sz w:val="20"/>
          <w:szCs w:val="20"/>
        </w:rPr>
        <w:t>古探</w:t>
      </w:r>
      <w:r w:rsidR="00494D33" w:rsidRPr="00A45ADD">
        <w:rPr>
          <w:rFonts w:asciiTheme="majorEastAsia" w:eastAsiaTheme="majorEastAsia" w:hAnsiTheme="majorEastAsia" w:cs="Kosugi Maru" w:hint="eastAsia"/>
          <w:sz w:val="20"/>
          <w:szCs w:val="20"/>
        </w:rPr>
        <w:t>701</w:t>
      </w:r>
      <w:r w:rsidR="00692DFA" w:rsidRPr="00A45ADD">
        <w:rPr>
          <w:rFonts w:asciiTheme="majorEastAsia" w:eastAsiaTheme="majorEastAsia" w:hAnsiTheme="majorEastAsia" w:cs="Kosugi Maru"/>
          <w:sz w:val="20"/>
          <w:szCs w:val="20"/>
        </w:rPr>
        <w:t>）</w:t>
      </w:r>
    </w:p>
    <w:tbl>
      <w:tblPr>
        <w:tblStyle w:val="a5"/>
        <w:tblW w:w="15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
        <w:gridCol w:w="1979"/>
        <w:gridCol w:w="3402"/>
        <w:gridCol w:w="9643"/>
      </w:tblGrid>
      <w:tr w:rsidR="00D56DD9" w:rsidRPr="00A45ADD">
        <w:tc>
          <w:tcPr>
            <w:tcW w:w="2376" w:type="dxa"/>
            <w:gridSpan w:val="2"/>
            <w:shd w:val="clear" w:color="auto" w:fill="auto"/>
            <w:vAlign w:val="center"/>
          </w:tcPr>
          <w:p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項目</w:t>
            </w:r>
          </w:p>
        </w:tc>
        <w:tc>
          <w:tcPr>
            <w:tcW w:w="3402" w:type="dxa"/>
            <w:shd w:val="clear" w:color="auto" w:fill="auto"/>
            <w:vAlign w:val="center"/>
          </w:tcPr>
          <w:p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観点</w:t>
            </w:r>
          </w:p>
        </w:tc>
        <w:tc>
          <w:tcPr>
            <w:tcW w:w="9643" w:type="dxa"/>
            <w:shd w:val="clear" w:color="auto" w:fill="auto"/>
            <w:vAlign w:val="center"/>
          </w:tcPr>
          <w:p w:rsidR="00D56DD9" w:rsidRPr="00A45ADD" w:rsidRDefault="00692DFA">
            <w:pPr>
              <w:jc w:val="center"/>
              <w:rPr>
                <w:rFonts w:asciiTheme="majorEastAsia" w:eastAsiaTheme="majorEastAsia" w:hAnsiTheme="majorEastAsia" w:cs="Kosugi Maru"/>
                <w:b/>
                <w:sz w:val="18"/>
                <w:szCs w:val="18"/>
              </w:rPr>
            </w:pPr>
            <w:r w:rsidRPr="00A45ADD">
              <w:rPr>
                <w:rFonts w:asciiTheme="majorEastAsia" w:eastAsiaTheme="majorEastAsia" w:hAnsiTheme="majorEastAsia" w:cs="Kosugi Maru"/>
                <w:b/>
                <w:sz w:val="18"/>
                <w:szCs w:val="18"/>
              </w:rPr>
              <w:t>特色・具体例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1</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内容の選択・程度</w:t>
            </w:r>
          </w:p>
        </w:tc>
        <w:tc>
          <w:tcPr>
            <w:tcW w:w="3402" w:type="dxa"/>
            <w:shd w:val="clear" w:color="auto" w:fill="auto"/>
            <w:vAlign w:val="center"/>
          </w:tcPr>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w:t>
            </w:r>
            <w:r w:rsidR="001D52F2" w:rsidRPr="00191B44">
              <w:rPr>
                <w:rFonts w:asciiTheme="minorEastAsia" w:hAnsiTheme="minorEastAsia" w:cs="ＭＳ 明朝" w:hint="eastAsia"/>
                <w:sz w:val="18"/>
                <w:szCs w:val="18"/>
              </w:rPr>
              <w:t>学習指導要領の教科の目標を達成するために必要な教材が適切に用意されているか。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w:t>
            </w:r>
            <w:r w:rsidR="00BF3FCB">
              <w:rPr>
                <w:rFonts w:asciiTheme="minorEastAsia" w:hAnsiTheme="minorEastAsia" w:cs="ＭＳ 明朝" w:hint="eastAsia"/>
                <w:sz w:val="18"/>
                <w:szCs w:val="18"/>
              </w:rPr>
              <w:t>「言語文化」での学習内容をふまえ，古典についての理解や関心を深めることができるように配慮されているか。</w:t>
            </w:r>
          </w:p>
        </w:tc>
        <w:tc>
          <w:tcPr>
            <w:tcW w:w="9643" w:type="dxa"/>
            <w:shd w:val="clear" w:color="auto" w:fill="auto"/>
            <w:vAlign w:val="center"/>
          </w:tcPr>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7E2833">
              <w:rPr>
                <w:rFonts w:asciiTheme="minorEastAsia" w:hAnsiTheme="minorEastAsia" w:cs="ＭＳ 明朝" w:hint="eastAsia"/>
                <w:sz w:val="18"/>
                <w:szCs w:val="18"/>
              </w:rPr>
              <w:t>伝統的な言語文化への理解を深め，古典を読む能力を基礎から発展へと充実させるために適した教材が，さまざまな時代・ジャンルからバランスよく採録されている。</w:t>
            </w:r>
          </w:p>
          <w:p w:rsidR="002513F8" w:rsidRPr="007E2833" w:rsidRDefault="00191B44" w:rsidP="007E2833">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7E2833" w:rsidRPr="007E2833">
              <w:rPr>
                <w:rFonts w:ascii="ＭＳ 明朝" w:eastAsia="ＭＳ 明朝" w:hAnsi="ＭＳ 明朝" w:hint="eastAsia"/>
                <w:sz w:val="18"/>
                <w:szCs w:val="18"/>
              </w:rPr>
              <w:t>各教材末の手引きや，脚問が充実しており，教材に即して，基礎的・基本的事項をおさえながら学習ができる。本文下欄には，脚注・古文重要語句・助字句法を適宜掲げるなど，教材の理解を促す工夫がなされている。また，古文編・漢文編の各導入単元は，基礎・基本の確認にふさわしい内容である。</w:t>
            </w:r>
          </w:p>
          <w:p w:rsidR="00D56DD9" w:rsidRPr="00191B44" w:rsidRDefault="00191B44" w:rsidP="007E2833">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7E2833" w:rsidRPr="007E2833">
              <w:rPr>
                <w:rFonts w:ascii="ＭＳ 明朝" w:eastAsia="ＭＳ 明朝" w:hAnsi="ＭＳ 明朝" w:hint="eastAsia"/>
                <w:sz w:val="18"/>
                <w:szCs w:val="18"/>
              </w:rPr>
              <w:t>コラムや巻末資料が適切に用意されており，古典についての理解や関心を深めることができるように配慮されている。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2</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組織・配列・分量</w:t>
            </w:r>
          </w:p>
        </w:tc>
        <w:tc>
          <w:tcPr>
            <w:tcW w:w="3402" w:type="dxa"/>
            <w:shd w:val="clear" w:color="auto" w:fill="auto"/>
            <w:vAlign w:val="center"/>
          </w:tcPr>
          <w:p w:rsidR="00D56DD9" w:rsidRPr="00191B44" w:rsidRDefault="00BF3FCB">
            <w:pPr>
              <w:spacing w:line="260" w:lineRule="auto"/>
              <w:ind w:left="180" w:hanging="180"/>
              <w:rPr>
                <w:rFonts w:asciiTheme="minorEastAsia" w:hAnsiTheme="minorEastAsia" w:cs="Kosugi Maru"/>
                <w:sz w:val="18"/>
                <w:szCs w:val="18"/>
              </w:rPr>
            </w:pPr>
            <w:r>
              <w:rPr>
                <w:rFonts w:asciiTheme="minorEastAsia" w:hAnsiTheme="minorEastAsia" w:cs="Kosugi Maru"/>
                <w:sz w:val="18"/>
                <w:szCs w:val="18"/>
              </w:rPr>
              <w:t>＊内容の組織・配列は，学習指導を有効に</w:t>
            </w:r>
            <w:r>
              <w:rPr>
                <w:rFonts w:asciiTheme="minorEastAsia" w:hAnsiTheme="minorEastAsia" w:cs="Kosugi Maru" w:hint="eastAsia"/>
                <w:sz w:val="18"/>
                <w:szCs w:val="18"/>
              </w:rPr>
              <w:t>すす</w:t>
            </w:r>
            <w:r w:rsidR="00692DFA" w:rsidRPr="00191B44">
              <w:rPr>
                <w:rFonts w:asciiTheme="minorEastAsia" w:hAnsiTheme="minorEastAsia" w:cs="Kosugi Maru"/>
                <w:sz w:val="18"/>
                <w:szCs w:val="18"/>
              </w:rPr>
              <w:t>められるように考慮されているか。</w:t>
            </w:r>
          </w:p>
          <w:p w:rsidR="00D56DD9" w:rsidRPr="00191B44" w:rsidRDefault="00692DFA" w:rsidP="00BF3FCB">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＊分量は学習指導を有効に進められるように考慮され，精選されているか。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＊弾力的な取り扱いに対する配慮がなされているか。</w:t>
            </w:r>
          </w:p>
        </w:tc>
        <w:tc>
          <w:tcPr>
            <w:tcW w:w="9643" w:type="dxa"/>
            <w:shd w:val="clear" w:color="auto" w:fill="auto"/>
            <w:vAlign w:val="center"/>
          </w:tcPr>
          <w:p w:rsidR="002513F8" w:rsidRPr="007E2833"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7E2833" w:rsidRPr="007E2833">
              <w:rPr>
                <w:rFonts w:ascii="ＭＳ 明朝" w:eastAsia="ＭＳ 明朝" w:hAnsi="ＭＳ 明朝" w:hint="eastAsia"/>
                <w:sz w:val="18"/>
                <w:szCs w:val="18"/>
              </w:rPr>
              <w:t>二部構成をとっており，段階を踏んで学習を進められる。全体の教材配列順序は，易から難へと学習を進められるよう，配慮されたものになっている。</w:t>
            </w:r>
          </w:p>
          <w:p w:rsidR="002513F8" w:rsidRPr="007E2833" w:rsidRDefault="00191B44" w:rsidP="007E2833">
            <w:pPr>
              <w:ind w:left="180" w:hangingChars="100" w:hanging="180"/>
              <w:rPr>
                <w:rFonts w:ascii="ＭＳ 明朝" w:eastAsia="ＭＳ 明朝" w:hAnsi="ＭＳ 明朝"/>
                <w:sz w:val="18"/>
                <w:szCs w:val="18"/>
              </w:rPr>
            </w:pPr>
            <w:r w:rsidRPr="00191B44">
              <w:rPr>
                <w:rFonts w:asciiTheme="minorEastAsia" w:hAnsiTheme="minorEastAsia" w:cs="Cambria Math"/>
                <w:sz w:val="18"/>
                <w:szCs w:val="18"/>
              </w:rPr>
              <w:t>○</w:t>
            </w:r>
            <w:r w:rsidR="007E2833" w:rsidRPr="007E2833">
              <w:rPr>
                <w:rFonts w:ascii="ＭＳ 明朝" w:eastAsia="ＭＳ 明朝" w:hAnsi="ＭＳ 明朝" w:hint="eastAsia"/>
                <w:sz w:val="18"/>
                <w:szCs w:val="18"/>
              </w:rPr>
              <w:t>古文編・漢文編とも，長短織り交ぜつつ，親しみやすい教材を中心に精選して構成されており，生徒の学ぶ意欲を高め，国語の力がつくよう工夫されている。分量も適切である。</w:t>
            </w:r>
          </w:p>
          <w:p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教科書教材に関連した参考資料が効果的に配置されており（</w:t>
            </w:r>
            <w:r w:rsidR="007E2833">
              <w:rPr>
                <w:rFonts w:asciiTheme="minorEastAsia" w:hAnsiTheme="minorEastAsia" w:cs="ＭＳ 明朝" w:hint="eastAsia"/>
                <w:sz w:val="18"/>
                <w:szCs w:val="18"/>
              </w:rPr>
              <w:t>p</w:t>
            </w:r>
            <w:r w:rsidR="007E2833">
              <w:rPr>
                <w:rFonts w:asciiTheme="minorEastAsia" w:hAnsiTheme="minorEastAsia" w:cs="ＭＳ 明朝"/>
                <w:sz w:val="18"/>
                <w:szCs w:val="18"/>
              </w:rPr>
              <w:t>32,167,217,</w:t>
            </w:r>
            <w:r w:rsidR="007E2833">
              <w:rPr>
                <w:rFonts w:asciiTheme="minorEastAsia" w:hAnsiTheme="minorEastAsia" w:cs="Kosugi Maru" w:hint="eastAsia"/>
                <w:sz w:val="18"/>
                <w:szCs w:val="18"/>
              </w:rPr>
              <w:t>22</w:t>
            </w:r>
            <w:r w:rsidR="007E2833">
              <w:rPr>
                <w:rFonts w:asciiTheme="minorEastAsia" w:hAnsiTheme="minorEastAsia" w:cs="Kosugi Maru"/>
                <w:sz w:val="18"/>
                <w:szCs w:val="18"/>
              </w:rPr>
              <w:t>4</w:t>
            </w:r>
            <w:r w:rsidR="007E2833">
              <w:rPr>
                <w:rFonts w:asciiTheme="minorEastAsia" w:hAnsiTheme="minorEastAsia" w:cs="Kosugi Maru" w:hint="eastAsia"/>
                <w:sz w:val="18"/>
                <w:szCs w:val="18"/>
              </w:rPr>
              <w:t>,2</w:t>
            </w:r>
            <w:r w:rsidR="007E2833">
              <w:rPr>
                <w:rFonts w:asciiTheme="minorEastAsia" w:hAnsiTheme="minorEastAsia" w:cs="Kosugi Maru"/>
                <w:sz w:val="18"/>
                <w:szCs w:val="18"/>
              </w:rPr>
              <w:t>40,270,274</w:t>
            </w:r>
            <w:r w:rsidR="002513F8" w:rsidRPr="00191B44">
              <w:rPr>
                <w:rFonts w:asciiTheme="minorEastAsia" w:hAnsiTheme="minorEastAsia" w:cs="Kosugi Maru" w:hint="eastAsia"/>
                <w:sz w:val="18"/>
                <w:szCs w:val="18"/>
              </w:rPr>
              <w:t xml:space="preserve"> </w:t>
            </w:r>
            <w:r w:rsidR="002513F8" w:rsidRPr="00191B44">
              <w:rPr>
                <w:rFonts w:asciiTheme="minorEastAsia" w:hAnsiTheme="minorEastAsia" w:cs="ＭＳ 明朝" w:hint="eastAsia"/>
                <w:sz w:val="18"/>
                <w:szCs w:val="18"/>
              </w:rPr>
              <w:t>など），生徒の実態に応じて弾力的に学習を深めるための配慮がなされている。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3</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表記・表現及び指導に対する工夫や配慮</w:t>
            </w:r>
          </w:p>
        </w:tc>
        <w:tc>
          <w:tcPr>
            <w:tcW w:w="3402" w:type="dxa"/>
            <w:shd w:val="clear" w:color="auto" w:fill="auto"/>
            <w:vAlign w:val="center"/>
          </w:tcPr>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＊学習意欲を高めるための配慮がなされているか。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＊用語・記号の取り上げ方や記述の仕方は適切か。</w:t>
            </w:r>
          </w:p>
          <w:p w:rsidR="00D56DD9" w:rsidRPr="00191B44" w:rsidRDefault="00BF3FCB">
            <w:pPr>
              <w:spacing w:line="260" w:lineRule="auto"/>
              <w:ind w:left="180" w:hanging="180"/>
              <w:rPr>
                <w:rFonts w:asciiTheme="minorEastAsia" w:hAnsiTheme="minorEastAsia" w:cs="Kosugi Maru"/>
                <w:sz w:val="18"/>
                <w:szCs w:val="18"/>
              </w:rPr>
            </w:pPr>
            <w:r>
              <w:rPr>
                <w:rFonts w:asciiTheme="minorEastAsia" w:hAnsiTheme="minorEastAsia" w:cs="Kosugi Maru"/>
                <w:sz w:val="18"/>
                <w:szCs w:val="18"/>
              </w:rPr>
              <w:t>＊生徒の自学自習への配慮</w:t>
            </w:r>
            <w:r w:rsidR="00692DFA" w:rsidRPr="00191B44">
              <w:rPr>
                <w:rFonts w:asciiTheme="minorEastAsia" w:hAnsiTheme="minorEastAsia" w:cs="Kosugi Maru"/>
                <w:sz w:val="18"/>
                <w:szCs w:val="18"/>
              </w:rPr>
              <w:t>がなされているか。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＊指導書や周辺教材での工夫や配慮がなされているか。</w:t>
            </w:r>
          </w:p>
        </w:tc>
        <w:tc>
          <w:tcPr>
            <w:tcW w:w="9643" w:type="dxa"/>
            <w:shd w:val="clear" w:color="auto" w:fill="auto"/>
            <w:vAlign w:val="center"/>
          </w:tcPr>
          <w:p w:rsidR="002513F8" w:rsidRPr="00031645" w:rsidRDefault="00191B44" w:rsidP="00031645">
            <w:pPr>
              <w:ind w:left="180" w:hangingChars="100" w:hanging="180"/>
              <w:rPr>
                <w:rFonts w:ascii="ＭＳ 明朝" w:eastAsia="ＭＳ 明朝" w:hAnsi="ＭＳ 明朝"/>
                <w:sz w:val="18"/>
                <w:szCs w:val="18"/>
              </w:rPr>
            </w:pPr>
            <w:r w:rsidRPr="00191B44">
              <w:rPr>
                <w:rFonts w:asciiTheme="minorEastAsia" w:hAnsiTheme="minorEastAsia" w:cs="Cambria Math"/>
                <w:sz w:val="18"/>
                <w:szCs w:val="18"/>
              </w:rPr>
              <w:t>○</w:t>
            </w:r>
            <w:r w:rsidR="00031645" w:rsidRPr="00031645">
              <w:rPr>
                <w:rFonts w:ascii="ＭＳ 明朝" w:eastAsia="ＭＳ 明朝" w:hAnsi="ＭＳ 明朝" w:hint="eastAsia"/>
                <w:sz w:val="18"/>
                <w:szCs w:val="18"/>
              </w:rPr>
              <w:t>生徒の興味を喚起し，教材の理解を促す点から効果的な資料性の高いカラー写真・図版が教材中や単元扉に適切に掲載されている。</w:t>
            </w:r>
          </w:p>
          <w:p w:rsidR="00031645" w:rsidRPr="004E6778" w:rsidRDefault="00191B44" w:rsidP="004E6778">
            <w:pPr>
              <w:ind w:left="180" w:hangingChars="100" w:hanging="180"/>
              <w:rPr>
                <w:rFonts w:ascii="ＭＳ 明朝" w:eastAsia="ＭＳ 明朝" w:hAnsi="ＭＳ 明朝"/>
                <w:sz w:val="18"/>
                <w:szCs w:val="18"/>
              </w:rPr>
            </w:pPr>
            <w:r w:rsidRPr="00191B44">
              <w:rPr>
                <w:rFonts w:asciiTheme="minorEastAsia" w:hAnsiTheme="minorEastAsia" w:cs="Cambria Math"/>
                <w:sz w:val="18"/>
                <w:szCs w:val="18"/>
              </w:rPr>
              <w:t>○</w:t>
            </w:r>
            <w:r w:rsidR="004E6778" w:rsidRPr="004E6778">
              <w:rPr>
                <w:rFonts w:ascii="ＭＳ 明朝" w:eastAsia="ＭＳ 明朝" w:hAnsi="ＭＳ 明朝" w:hint="eastAsia"/>
                <w:sz w:val="18"/>
                <w:szCs w:val="18"/>
              </w:rPr>
              <w:t>コラム「古文の窓」「漢文の窓」や，「ご当地キャラクターと古典」</w:t>
            </w:r>
            <w:r w:rsidR="004E6778">
              <w:rPr>
                <w:rFonts w:ascii="ＭＳ 明朝" w:eastAsia="ＭＳ 明朝" w:hAnsi="ＭＳ 明朝" w:hint="eastAsia"/>
                <w:sz w:val="18"/>
                <w:szCs w:val="18"/>
              </w:rPr>
              <w:t>,「『源氏物語』―現代語訳の世界」</w:t>
            </w:r>
            <w:r w:rsidR="004E6778" w:rsidRPr="004E6778">
              <w:rPr>
                <w:rFonts w:ascii="ＭＳ 明朝" w:eastAsia="ＭＳ 明朝" w:hAnsi="ＭＳ 明朝" w:hint="eastAsia"/>
                <w:sz w:val="18"/>
                <w:szCs w:val="18"/>
              </w:rPr>
              <w:t>は，学習内容と関連して古典の世界に対する理解を深められる内容となっている。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4E6778" w:rsidRPr="004E6778">
              <w:rPr>
                <w:rFonts w:ascii="ＭＳ 明朝" w:eastAsia="ＭＳ 明朝" w:hAnsi="ＭＳ 明朝" w:hint="eastAsia"/>
                <w:sz w:val="18"/>
                <w:szCs w:val="18"/>
              </w:rPr>
              <w:t>巻末の「古典参考図録」は極めて資料性が高く，生徒の古典に対する学習意欲が高められるように工夫されている。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4E6778" w:rsidRPr="004E6778">
              <w:rPr>
                <w:rFonts w:asciiTheme="minorEastAsia" w:hAnsiTheme="minorEastAsia" w:cs="ＭＳ 明朝" w:hint="eastAsia"/>
                <w:sz w:val="18"/>
                <w:szCs w:val="18"/>
              </w:rPr>
              <w:t>用語・記号は統一されており，記述の仕方も適切である。</w:t>
            </w:r>
          </w:p>
          <w:p w:rsidR="00D56DD9" w:rsidRDefault="00191B44" w:rsidP="004E6778">
            <w:pPr>
              <w:spacing w:line="260" w:lineRule="auto"/>
              <w:ind w:left="180" w:hanging="180"/>
              <w:rPr>
                <w:rFonts w:asciiTheme="minorEastAsia" w:hAnsiTheme="minorEastAsia" w:cs="ＭＳ 明朝"/>
                <w:sz w:val="18"/>
                <w:szCs w:val="18"/>
              </w:rPr>
            </w:pPr>
            <w:r w:rsidRPr="00191B44">
              <w:rPr>
                <w:rFonts w:asciiTheme="minorEastAsia" w:hAnsiTheme="minorEastAsia" w:cs="Cambria Math"/>
                <w:sz w:val="18"/>
                <w:szCs w:val="18"/>
              </w:rPr>
              <w:t>○</w:t>
            </w:r>
            <w:r w:rsidR="004E6778" w:rsidRPr="004E6778">
              <w:rPr>
                <w:rFonts w:asciiTheme="minorEastAsia" w:hAnsiTheme="minorEastAsia" w:cs="ＭＳ 明朝" w:hint="eastAsia"/>
                <w:sz w:val="18"/>
                <w:szCs w:val="18"/>
              </w:rPr>
              <w:t>巻末には「古文重要語句」「漢文句法・重要語のまとめ」などの附録が用意されており，生徒の自学自習に役立つ。</w:t>
            </w:r>
          </w:p>
          <w:p w:rsidR="004E6778" w:rsidRPr="00191B44" w:rsidRDefault="004E6778" w:rsidP="004E6778">
            <w:pPr>
              <w:spacing w:line="260" w:lineRule="auto"/>
              <w:ind w:left="180" w:hanging="180"/>
              <w:rPr>
                <w:rFonts w:asciiTheme="minorEastAsia" w:hAnsiTheme="minorEastAsia" w:cs="Kosugi Maru"/>
                <w:sz w:val="18"/>
                <w:szCs w:val="18"/>
              </w:rPr>
            </w:pPr>
            <w:r>
              <w:rPr>
                <w:rFonts w:asciiTheme="minorEastAsia" w:hAnsiTheme="minorEastAsia" w:cs="ＭＳ 明朝" w:hint="eastAsia"/>
                <w:sz w:val="18"/>
                <w:szCs w:val="18"/>
              </w:rPr>
              <w:t>◯</w:t>
            </w:r>
            <w:r w:rsidRPr="004E6778">
              <w:rPr>
                <w:rFonts w:asciiTheme="minorEastAsia" w:hAnsiTheme="minorEastAsia" w:cs="ＭＳ 明朝" w:hint="eastAsia"/>
                <w:sz w:val="18"/>
                <w:szCs w:val="18"/>
              </w:rPr>
              <w:t>教科書を支援する指導書や周辺教材などが充実しており，指導しやすく学習しやすい教科書であ</w:t>
            </w:r>
            <w:r>
              <w:rPr>
                <w:rFonts w:asciiTheme="minorEastAsia" w:hAnsiTheme="minorEastAsia" w:cs="ＭＳ 明朝" w:hint="eastAsia"/>
                <w:sz w:val="18"/>
                <w:szCs w:val="18"/>
              </w:rPr>
              <w:t>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4</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印刷・造本上の配慮</w:t>
            </w:r>
          </w:p>
        </w:tc>
        <w:tc>
          <w:tcPr>
            <w:tcW w:w="3402" w:type="dxa"/>
            <w:shd w:val="clear" w:color="auto" w:fill="auto"/>
            <w:vAlign w:val="center"/>
          </w:tcPr>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＊印刷の鮮明さ，活字の大きさ，行間，製本などは適切か。</w:t>
            </w:r>
          </w:p>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＊環境保全や生徒の多様な特性に配慮がなされているか。</w:t>
            </w:r>
          </w:p>
        </w:tc>
        <w:tc>
          <w:tcPr>
            <w:tcW w:w="9643" w:type="dxa"/>
            <w:shd w:val="clear" w:color="auto" w:fill="auto"/>
            <w:vAlign w:val="center"/>
          </w:tcPr>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4E6778">
              <w:rPr>
                <w:rFonts w:asciiTheme="minorEastAsia" w:hAnsiTheme="minorEastAsia" w:cs="Cambria Math" w:hint="eastAsia"/>
                <w:sz w:val="18"/>
                <w:szCs w:val="18"/>
              </w:rPr>
              <w:t>見やすい字詰め・行数で，</w:t>
            </w:r>
            <w:r w:rsidR="004E6778">
              <w:rPr>
                <w:rFonts w:asciiTheme="minorEastAsia" w:hAnsiTheme="minorEastAsia" w:cs="ＭＳ 明朝" w:hint="eastAsia"/>
                <w:sz w:val="18"/>
                <w:szCs w:val="18"/>
              </w:rPr>
              <w:t>活字は鮮明で美しい。写真，図版</w:t>
            </w:r>
            <w:r w:rsidR="002513F8" w:rsidRPr="00191B44">
              <w:rPr>
                <w:rFonts w:asciiTheme="minorEastAsia" w:hAnsiTheme="minorEastAsia" w:cs="ＭＳ 明朝" w:hint="eastAsia"/>
                <w:sz w:val="18"/>
                <w:szCs w:val="18"/>
              </w:rPr>
              <w:t>も鮮明で効果的である。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製本は堅牢で</w:t>
            </w:r>
            <w:r w:rsidR="004E6778">
              <w:rPr>
                <w:rFonts w:asciiTheme="minorEastAsia" w:hAnsiTheme="minorEastAsia" w:cs="ＭＳ 明朝" w:hint="eastAsia"/>
                <w:sz w:val="18"/>
                <w:szCs w:val="18"/>
              </w:rPr>
              <w:t>ある。</w:t>
            </w:r>
          </w:p>
          <w:p w:rsidR="002513F8"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図の色使いなどは，色覚特性への配慮を含むユニバーサルデザインとなっており，全ページにわたって配色が工夫されており，見やすい紙面になっている。</w:t>
            </w:r>
          </w:p>
          <w:p w:rsidR="00D56DD9" w:rsidRPr="00191B44" w:rsidRDefault="00191B44" w:rsidP="002513F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2513F8" w:rsidRPr="00191B44">
              <w:rPr>
                <w:rFonts w:asciiTheme="minorEastAsia" w:hAnsiTheme="minorEastAsia" w:cs="ＭＳ 明朝" w:hint="eastAsia"/>
                <w:sz w:val="18"/>
                <w:szCs w:val="18"/>
              </w:rPr>
              <w:t>本文の用紙には再生紙と植物油インキが使用されており，地球環境や資源に及ぼす影響も考慮されている。</w:t>
            </w:r>
          </w:p>
        </w:tc>
      </w:tr>
      <w:tr w:rsidR="00D56DD9">
        <w:tc>
          <w:tcPr>
            <w:tcW w:w="397" w:type="dxa"/>
            <w:shd w:val="clear" w:color="auto" w:fill="auto"/>
            <w:vAlign w:val="center"/>
          </w:tcPr>
          <w:p w:rsidR="00D56DD9" w:rsidRPr="00A45ADD" w:rsidRDefault="00692DFA">
            <w:pPr>
              <w:jc w:val="center"/>
              <w:rPr>
                <w:rFonts w:asciiTheme="majorEastAsia" w:eastAsiaTheme="majorEastAsia" w:hAnsiTheme="majorEastAsia" w:cs="Kosugi Maru"/>
                <w:b/>
              </w:rPr>
            </w:pPr>
            <w:r w:rsidRPr="00A45ADD">
              <w:rPr>
                <w:rFonts w:asciiTheme="majorEastAsia" w:eastAsiaTheme="majorEastAsia" w:hAnsiTheme="majorEastAsia" w:cs="Kosugi Maru"/>
                <w:b/>
              </w:rPr>
              <w:t>5</w:t>
            </w:r>
          </w:p>
        </w:tc>
        <w:tc>
          <w:tcPr>
            <w:tcW w:w="1979" w:type="dxa"/>
            <w:shd w:val="clear" w:color="auto" w:fill="auto"/>
            <w:vAlign w:val="center"/>
          </w:tcPr>
          <w:p w:rsidR="00D56DD9" w:rsidRPr="00191B44" w:rsidRDefault="00692DFA">
            <w:pPr>
              <w:spacing w:line="260" w:lineRule="auto"/>
              <w:rPr>
                <w:rFonts w:asciiTheme="minorEastAsia" w:hAnsiTheme="minorEastAsia" w:cs="Kosugi Maru"/>
                <w:sz w:val="18"/>
                <w:szCs w:val="18"/>
              </w:rPr>
            </w:pPr>
            <w:r w:rsidRPr="00191B44">
              <w:rPr>
                <w:rFonts w:asciiTheme="minorEastAsia" w:hAnsiTheme="minorEastAsia" w:cs="Kosugi Maru"/>
                <w:sz w:val="18"/>
                <w:szCs w:val="18"/>
              </w:rPr>
              <w:t>総合所見</w:t>
            </w:r>
          </w:p>
        </w:tc>
        <w:tc>
          <w:tcPr>
            <w:tcW w:w="3402" w:type="dxa"/>
            <w:shd w:val="clear" w:color="auto" w:fill="auto"/>
            <w:vAlign w:val="center"/>
          </w:tcPr>
          <w:p w:rsidR="00D56DD9" w:rsidRPr="00191B44" w:rsidRDefault="00692DFA">
            <w:pPr>
              <w:spacing w:line="260" w:lineRule="auto"/>
              <w:ind w:left="180" w:hanging="180"/>
              <w:rPr>
                <w:rFonts w:asciiTheme="minorEastAsia" w:hAnsiTheme="minorEastAsia" w:cs="Kosugi Maru"/>
                <w:sz w:val="18"/>
                <w:szCs w:val="18"/>
              </w:rPr>
            </w:pPr>
            <w:r w:rsidRPr="00191B44">
              <w:rPr>
                <w:rFonts w:asciiTheme="minorEastAsia" w:hAnsiTheme="minorEastAsia" w:cs="Kosugi Maru"/>
                <w:sz w:val="18"/>
                <w:szCs w:val="18"/>
              </w:rPr>
              <w:t>＊上記観点から見た，全体的・総合的な当教科書の特徴</w:t>
            </w:r>
          </w:p>
        </w:tc>
        <w:tc>
          <w:tcPr>
            <w:tcW w:w="9643" w:type="dxa"/>
            <w:shd w:val="clear" w:color="auto" w:fill="auto"/>
            <w:vAlign w:val="center"/>
          </w:tcPr>
          <w:p w:rsidR="00D56DD9" w:rsidRPr="00191B44" w:rsidRDefault="00191B44" w:rsidP="004E6778">
            <w:pPr>
              <w:spacing w:line="260" w:lineRule="auto"/>
              <w:ind w:left="180" w:hanging="180"/>
              <w:rPr>
                <w:rFonts w:asciiTheme="minorEastAsia" w:hAnsiTheme="minorEastAsia" w:cs="Kosugi Maru"/>
                <w:sz w:val="18"/>
                <w:szCs w:val="18"/>
              </w:rPr>
            </w:pPr>
            <w:r w:rsidRPr="00191B44">
              <w:rPr>
                <w:rFonts w:asciiTheme="minorEastAsia" w:hAnsiTheme="minorEastAsia" w:cs="Cambria Math"/>
                <w:sz w:val="18"/>
                <w:szCs w:val="18"/>
              </w:rPr>
              <w:t>○</w:t>
            </w:r>
            <w:r w:rsidR="004E6778" w:rsidRPr="004E6778">
              <w:rPr>
                <w:rFonts w:asciiTheme="minorEastAsia" w:hAnsiTheme="minorEastAsia" w:cs="ＭＳ 明朝" w:hint="eastAsia"/>
                <w:sz w:val="18"/>
                <w:szCs w:val="18"/>
              </w:rPr>
              <w:t>さまざまなジャンルから長短のバランスのとれた古文・漢文教材を採録し，古典に親しみ学習を助ける豊富な資料が用意されている。全体的に学習指導要領の示す内容を具体化するのにふさわしい教科書である。</w:t>
            </w:r>
          </w:p>
        </w:tc>
      </w:tr>
    </w:tbl>
    <w:p w:rsidR="00D56DD9" w:rsidRPr="00AF2EEE" w:rsidRDefault="00BF3FCB">
      <w:pPr>
        <w:tabs>
          <w:tab w:val="left" w:pos="8460"/>
        </w:tabs>
        <w:jc w:val="right"/>
        <w:rPr>
          <w:rFonts w:asciiTheme="majorEastAsia" w:eastAsiaTheme="majorEastAsia" w:hAnsiTheme="majorEastAsia" w:cs="Kosugi Maru"/>
        </w:rPr>
      </w:pPr>
      <w:r>
        <w:rPr>
          <w:rFonts w:asciiTheme="majorEastAsia" w:eastAsiaTheme="majorEastAsia" w:hAnsiTheme="majorEastAsia" w:cs="Kosugi Maru" w:hint="eastAsia"/>
          <w:sz w:val="20"/>
          <w:szCs w:val="20"/>
        </w:rPr>
        <w:t>令和５</w:t>
      </w:r>
      <w:r w:rsidR="00191B44" w:rsidRPr="00AF2EEE">
        <w:rPr>
          <w:rFonts w:asciiTheme="majorEastAsia" w:eastAsiaTheme="majorEastAsia" w:hAnsiTheme="majorEastAsia" w:cs="Kosugi Maru"/>
          <w:sz w:val="20"/>
          <w:szCs w:val="20"/>
        </w:rPr>
        <w:t>年度用 高等学校教科書内容解説資料</w:t>
      </w:r>
    </w:p>
    <w:sectPr w:rsidR="00D56DD9" w:rsidRPr="00AF2EEE">
      <w:headerReference w:type="even" r:id="rId6"/>
      <w:headerReference w:type="default" r:id="rId7"/>
      <w:footerReference w:type="even" r:id="rId8"/>
      <w:footerReference w:type="default" r:id="rId9"/>
      <w:headerReference w:type="first" r:id="rId10"/>
      <w:footerReference w:type="first" r:id="rId11"/>
      <w:pgSz w:w="16838" w:h="11906" w:orient="landscape"/>
      <w:pgMar w:top="680" w:right="720" w:bottom="68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BC3" w:rsidRDefault="00913BC3" w:rsidP="003952AC">
      <w:r>
        <w:separator/>
      </w:r>
    </w:p>
  </w:endnote>
  <w:endnote w:type="continuationSeparator" w:id="0">
    <w:p w:rsidR="00913BC3" w:rsidRDefault="00913BC3" w:rsidP="0039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sugi Maru">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2AC" w:rsidRDefault="003952A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2AC" w:rsidRDefault="003952AC">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2AC" w:rsidRDefault="003952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BC3" w:rsidRDefault="00913BC3" w:rsidP="003952AC">
      <w:r>
        <w:separator/>
      </w:r>
    </w:p>
  </w:footnote>
  <w:footnote w:type="continuationSeparator" w:id="0">
    <w:p w:rsidR="00913BC3" w:rsidRDefault="00913BC3" w:rsidP="0039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2AC" w:rsidRDefault="003952A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2AC" w:rsidRDefault="003952A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2AC" w:rsidRDefault="003952A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D9"/>
    <w:rsid w:val="000201DD"/>
    <w:rsid w:val="00031645"/>
    <w:rsid w:val="00191B44"/>
    <w:rsid w:val="001D52F2"/>
    <w:rsid w:val="002513F8"/>
    <w:rsid w:val="003952AC"/>
    <w:rsid w:val="00494D33"/>
    <w:rsid w:val="004E6778"/>
    <w:rsid w:val="00692DFA"/>
    <w:rsid w:val="007E2833"/>
    <w:rsid w:val="00845474"/>
    <w:rsid w:val="00913BC3"/>
    <w:rsid w:val="00973416"/>
    <w:rsid w:val="00A45ADD"/>
    <w:rsid w:val="00AF2EEE"/>
    <w:rsid w:val="00BF3FCB"/>
    <w:rsid w:val="00CB0E7C"/>
    <w:rsid w:val="00CD4754"/>
    <w:rsid w:val="00CE4237"/>
    <w:rsid w:val="00D56DD9"/>
    <w:rsid w:val="00E21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28" w:type="dxa"/>
        <w:left w:w="115" w:type="dxa"/>
        <w:bottom w:w="28" w:type="dxa"/>
        <w:right w:w="115" w:type="dxa"/>
      </w:tblCellMar>
    </w:tblPr>
  </w:style>
  <w:style w:type="paragraph" w:styleId="a6">
    <w:name w:val="Balloon Text"/>
    <w:basedOn w:val="a"/>
    <w:link w:val="a7"/>
    <w:uiPriority w:val="99"/>
    <w:semiHidden/>
    <w:unhideWhenUsed/>
    <w:rsid w:val="00191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91B44"/>
    <w:rPr>
      <w:rFonts w:asciiTheme="majorHAnsi" w:eastAsiaTheme="majorEastAsia" w:hAnsiTheme="majorHAnsi" w:cstheme="majorBidi"/>
      <w:sz w:val="18"/>
      <w:szCs w:val="18"/>
    </w:rPr>
  </w:style>
  <w:style w:type="paragraph" w:styleId="a8">
    <w:name w:val="header"/>
    <w:basedOn w:val="a"/>
    <w:link w:val="a9"/>
    <w:uiPriority w:val="99"/>
    <w:unhideWhenUsed/>
    <w:rsid w:val="003952AC"/>
    <w:pPr>
      <w:tabs>
        <w:tab w:val="center" w:pos="4252"/>
        <w:tab w:val="right" w:pos="8504"/>
      </w:tabs>
      <w:snapToGrid w:val="0"/>
    </w:pPr>
  </w:style>
  <w:style w:type="character" w:customStyle="1" w:styleId="a9">
    <w:name w:val="ヘッダー (文字)"/>
    <w:basedOn w:val="a0"/>
    <w:link w:val="a8"/>
    <w:uiPriority w:val="99"/>
    <w:rsid w:val="003952AC"/>
  </w:style>
  <w:style w:type="paragraph" w:styleId="aa">
    <w:name w:val="footer"/>
    <w:basedOn w:val="a"/>
    <w:link w:val="ab"/>
    <w:uiPriority w:val="99"/>
    <w:unhideWhenUsed/>
    <w:rsid w:val="003952AC"/>
    <w:pPr>
      <w:tabs>
        <w:tab w:val="center" w:pos="4252"/>
        <w:tab w:val="right" w:pos="8504"/>
      </w:tabs>
      <w:snapToGrid w:val="0"/>
    </w:pPr>
  </w:style>
  <w:style w:type="character" w:customStyle="1" w:styleId="ab">
    <w:name w:val="フッター (文字)"/>
    <w:basedOn w:val="a0"/>
    <w:link w:val="aa"/>
    <w:uiPriority w:val="99"/>
    <w:rsid w:val="0039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2022-04-14T09:39:00Z</dcterms:created>
  <dcterms:modified xsi:type="dcterms:W3CDTF">2022-04-14T09:39:00Z</dcterms:modified>
</cp:coreProperties>
</file>