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820F1E" w:rsidRDefault="00CD4754">
      <w:pPr>
        <w:rPr>
          <w:rFonts w:asciiTheme="minorEastAsia" w:hAnsiTheme="minorEastAsia" w:cs="Kosugi Maru"/>
          <w:sz w:val="20"/>
          <w:szCs w:val="20"/>
        </w:rPr>
      </w:pPr>
      <w:bookmarkStart w:id="0" w:name="_GoBack"/>
      <w:bookmarkEnd w:id="0"/>
      <w:r w:rsidRPr="00820F1E">
        <w:rPr>
          <w:rFonts w:asciiTheme="minorEastAsia" w:hAnsiTheme="minorEastAsia" w:cs="Kosugi Maru"/>
          <w:sz w:val="20"/>
          <w:szCs w:val="20"/>
        </w:rPr>
        <w:t>検討の観点（「</w:t>
      </w:r>
      <w:r w:rsidR="00BE108C">
        <w:rPr>
          <w:rFonts w:asciiTheme="minorEastAsia" w:hAnsiTheme="minorEastAsia" w:cs="Kosugi Maru" w:hint="eastAsia"/>
          <w:sz w:val="20"/>
          <w:szCs w:val="20"/>
        </w:rPr>
        <w:t>文学国語</w:t>
      </w:r>
      <w:r w:rsidR="00A23F82" w:rsidRPr="00820F1E">
        <w:rPr>
          <w:rFonts w:asciiTheme="minorEastAsia" w:hAnsiTheme="minorEastAsia" w:cs="Kosugi Maru"/>
          <w:sz w:val="20"/>
          <w:szCs w:val="20"/>
        </w:rPr>
        <w:t xml:space="preserve">」２東書　</w:t>
      </w:r>
      <w:r w:rsidR="00BE108C">
        <w:rPr>
          <w:rFonts w:asciiTheme="minorEastAsia" w:hAnsiTheme="minorEastAsia" w:cs="Kosugi Maru" w:hint="eastAsia"/>
          <w:sz w:val="20"/>
          <w:szCs w:val="20"/>
        </w:rPr>
        <w:t>文国</w:t>
      </w:r>
      <w:r w:rsidR="00D068E5">
        <w:rPr>
          <w:rFonts w:asciiTheme="minorEastAsia" w:hAnsiTheme="minorEastAsia" w:cs="Kosugi Maru" w:hint="eastAsia"/>
          <w:sz w:val="20"/>
          <w:szCs w:val="20"/>
        </w:rPr>
        <w:t xml:space="preserve">　</w:t>
      </w:r>
      <w:r w:rsidR="00BE108C">
        <w:rPr>
          <w:rFonts w:asciiTheme="minorEastAsia" w:hAnsiTheme="minorEastAsia" w:cs="Kosugi Maru" w:hint="eastAsia"/>
          <w:sz w:val="20"/>
          <w:szCs w:val="20"/>
        </w:rPr>
        <w:t>7</w:t>
      </w:r>
      <w:r w:rsidR="00BE108C">
        <w:rPr>
          <w:rFonts w:asciiTheme="minorEastAsia" w:hAnsiTheme="minorEastAsia" w:cs="Kosugi Maru"/>
          <w:sz w:val="20"/>
          <w:szCs w:val="20"/>
        </w:rPr>
        <w:t>01</w:t>
      </w:r>
      <w:r w:rsidR="00692DFA" w:rsidRPr="00820F1E">
        <w:rPr>
          <w:rFonts w:asciiTheme="minorEastAsia" w:hAnsiTheme="min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tc>
          <w:tcPr>
            <w:tcW w:w="2376" w:type="dxa"/>
            <w:gridSpan w:val="2"/>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項目</w:t>
            </w:r>
          </w:p>
        </w:tc>
        <w:tc>
          <w:tcPr>
            <w:tcW w:w="3402" w:type="dxa"/>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観点</w:t>
            </w:r>
          </w:p>
        </w:tc>
        <w:tc>
          <w:tcPr>
            <w:tcW w:w="9643" w:type="dxa"/>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特色・具体例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1</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shd w:val="clear" w:color="auto" w:fill="auto"/>
            <w:vAlign w:val="center"/>
          </w:tcPr>
          <w:p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＊学習指導要領の教科の目標を達成するために必要な教材が適切に用意されているか。</w:t>
            </w:r>
          </w:p>
          <w:p w:rsidR="00D56DD9" w:rsidRPr="00820F1E"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＊基礎的・基本的事項の理解や習得のために適切な配慮がなされているか。</w:t>
            </w:r>
          </w:p>
        </w:tc>
        <w:tc>
          <w:tcPr>
            <w:tcW w:w="9643" w:type="dxa"/>
            <w:shd w:val="clear" w:color="auto" w:fill="auto"/>
            <w:vAlign w:val="center"/>
          </w:tcPr>
          <w:p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我が国の言語文化への理解を深めることが育成できるように，教材は厳選され，バランスよく配列されている。</w:t>
            </w:r>
          </w:p>
          <w:p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小説・詩歌教材，随筆教材は，深く共感したり豊かに創造したりする力や，書き手の意図や，人物，情景，心情の描写などを的確に捉える力を育成するために適したものが選ばれている。また，戯曲や近代以降の文語文も採録されており，より幅広く効果的な指導を行うのに適している。</w:t>
            </w:r>
          </w:p>
          <w:p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評論教材は，広く文学を論じたり，具体的な文学作品や作家などについて論じたりしている文章を掲載しており，創造的に考える力を養うとともに，言葉が持つ価値への認識を深めるのに適している。</w:t>
            </w:r>
          </w:p>
          <w:p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適切な箇所に言語活動教材が設けられており，「書くこと」「読むこと」の指導を行うための教材が適切に用意されている。</w:t>
            </w:r>
          </w:p>
          <w:p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巻末附録には「読書案内」を設け，生涯にわたって読書に親しみ自己を向上させ，我が国の言語文化の担い手としての自覚を深めることができるようになっている。</w:t>
            </w:r>
          </w:p>
          <w:p w:rsidR="00D56DD9" w:rsidRPr="00820F1E"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その他，学習の手引きには，教材を的確に理解するための設問や語彙力，漢字力を育成することができる設問が示されており，国語の基礎的・基本的な知識や技能の習得のための配慮が行き届いている。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2</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shd w:val="clear" w:color="auto" w:fill="auto"/>
            <w:vAlign w:val="center"/>
          </w:tcPr>
          <w:p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＊内容の組織・配列は，学習指導を有効に進められるように考慮されているか。</w:t>
            </w:r>
          </w:p>
          <w:p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＊分量は学習指導を有効に進められるように考慮され，精選されているか。</w:t>
            </w:r>
          </w:p>
          <w:p w:rsidR="00D56DD9" w:rsidRPr="00820F1E"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＊弾力的な取り扱いに対する配慮がなされているか。</w:t>
            </w:r>
          </w:p>
        </w:tc>
        <w:tc>
          <w:tcPr>
            <w:tcW w:w="9643" w:type="dxa"/>
            <w:shd w:val="clear" w:color="auto" w:fill="auto"/>
            <w:vAlign w:val="center"/>
          </w:tcPr>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２か年にわたる履修にも対応できるように全体が二部構成(Ⅰ部・Ⅱ部構成)になっている。また，単元はジャンル別に構成されており，各単元が概ね2教材でまとめられているため，多様な実態に応じた弾力的な扱いが可能である。</w:t>
            </w:r>
          </w:p>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教材の配列，分量には，生徒の発達段階が配慮されている。また，各ジャンルの作品と言語活動教材がバランスよく配置されており，巻末附録にある創作の言語活動のポイントを示した「創作へのアプローチ」を使って，学習指導を効果的に行うことができる。</w:t>
            </w:r>
          </w:p>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小説・詩歌教材では，近代から現代までの文学史上重要なものがバランスよく取り上げられている。</w:t>
            </w:r>
          </w:p>
          <w:p w:rsidR="00D56DD9" w:rsidRPr="00820F1E"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巻末附録には「近現代の日本文学史」が設けられており，適宜，文学的な作品や作家に対する理解を深めることができるようになっている。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3</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＊学習意欲を高めるための配慮がなされているか。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＊用語・記号の取り上げ方や記述の仕方は適切か。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＊生徒の自学自習への配慮や工夫がなされているか。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＊指導書や周辺教材での工夫や配慮がなされているか。</w:t>
            </w:r>
          </w:p>
        </w:tc>
        <w:tc>
          <w:tcPr>
            <w:tcW w:w="9643" w:type="dxa"/>
            <w:shd w:val="clear" w:color="auto" w:fill="auto"/>
            <w:vAlign w:val="center"/>
          </w:tcPr>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教材は，定評教材を軸に幅広いテーマ，ジャンルから採録されており，生徒の学習意欲を高める内容となっている。また，コラム「文学への扉」は，読解教材の内容を深め，広げることができる。</w:t>
            </w:r>
          </w:p>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巻末附録の「読書案内」は，生徒に読書への興味を持たせるのに効果的である。</w:t>
            </w:r>
          </w:p>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資料性の高い写真や図版が効果的かつ適切に示されており，生徒の興味を喚起し，教材の理解を促す点でよく配慮されている。</w:t>
            </w:r>
          </w:p>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用語・記号は統一されており，記述の仕方も適切である。</w:t>
            </w:r>
          </w:p>
          <w:p w:rsidR="00E7123D" w:rsidRPr="00820F1E"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教師用指導書や関連資料，周辺教材が充実しており，指導しやすく学習しやすい。</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4</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＊印刷の鮮明さ，活字の大きさ，行間，製本などは適切か。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＊環境保全や生徒の多様な特性に配慮がなされているか。</w:t>
            </w:r>
          </w:p>
        </w:tc>
        <w:tc>
          <w:tcPr>
            <w:tcW w:w="9643" w:type="dxa"/>
            <w:shd w:val="clear" w:color="auto" w:fill="auto"/>
            <w:vAlign w:val="center"/>
          </w:tcPr>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活字は鮮明で美しく，文字の大きさ，行間も適切で読みやすい。写真，挿し絵も鮮明で効果的である。</w:t>
            </w:r>
          </w:p>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製本は堅牢で，軽量な紙が使用されており，生徒の負担に配慮されている。</w:t>
            </w:r>
          </w:p>
          <w:p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図の色使いなどは，色覚特性への配慮を含むユニバーサルデザインとなっており，全ページにわたって配色が工夫されており，見やすい紙面になっている。</w:t>
            </w:r>
          </w:p>
          <w:p w:rsidR="00D56DD9" w:rsidRPr="00820F1E"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本文の用紙には再生紙と植物油インキが使用されており，地球環境や資源に及ぼす影響も考慮されている。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lastRenderedPageBreak/>
              <w:t>5</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shd w:val="clear" w:color="auto" w:fill="auto"/>
            <w:vAlign w:val="center"/>
          </w:tcPr>
          <w:p w:rsidR="00D56DD9" w:rsidRPr="00820F1E" w:rsidRDefault="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＊上記観点から見た，全体的・総合的な当教科書の特徴</w:t>
            </w:r>
          </w:p>
        </w:tc>
        <w:tc>
          <w:tcPr>
            <w:tcW w:w="9643" w:type="dxa"/>
            <w:shd w:val="clear" w:color="auto" w:fill="auto"/>
            <w:vAlign w:val="center"/>
          </w:tcPr>
          <w:p w:rsidR="00D56DD9" w:rsidRPr="00820F1E" w:rsidRDefault="00495F52" w:rsidP="00820F1E">
            <w:pPr>
              <w:ind w:left="180" w:hangingChars="10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生徒の学習意欲を喚起し，国語の力を高めることのできる質的に優れた教材がバランスよく採録されている。分量も妥当であり，配列にも細かな配慮が行き届いている。学習指導要領の精神を具体的に実現できる優れた教科書である。</w:t>
            </w:r>
          </w:p>
        </w:tc>
      </w:tr>
    </w:tbl>
    <w:p w:rsidR="00D56DD9" w:rsidRPr="00820F1E" w:rsidRDefault="00A23F82">
      <w:pPr>
        <w:tabs>
          <w:tab w:val="left" w:pos="8460"/>
        </w:tabs>
        <w:jc w:val="right"/>
        <w:rPr>
          <w:rFonts w:asciiTheme="minorEastAsia" w:hAnsiTheme="minorEastAsia" w:cs="Kosugi Maru"/>
        </w:rPr>
      </w:pPr>
      <w:r w:rsidRPr="00820F1E">
        <w:rPr>
          <w:rFonts w:asciiTheme="minorEastAsia" w:hAnsiTheme="minorEastAsia" w:cs="Kosugi Maru" w:hint="eastAsia"/>
          <w:sz w:val="20"/>
          <w:szCs w:val="20"/>
        </w:rPr>
        <w:t>令和</w:t>
      </w:r>
      <w:r w:rsidR="000C38E6">
        <w:rPr>
          <w:rFonts w:asciiTheme="minorEastAsia" w:hAnsiTheme="minorEastAsia" w:cs="Kosugi Maru" w:hint="eastAsia"/>
          <w:sz w:val="20"/>
          <w:szCs w:val="20"/>
        </w:rPr>
        <w:t>５</w:t>
      </w:r>
      <w:r w:rsidR="00692DFA" w:rsidRPr="00820F1E">
        <w:rPr>
          <w:rFonts w:asciiTheme="minorEastAsia" w:hAnsiTheme="minorEastAsia" w:cs="Kosugi Maru"/>
          <w:sz w:val="20"/>
          <w:szCs w:val="20"/>
        </w:rPr>
        <w:t>年度用 高等学校教科書内容解説資料</w:t>
      </w:r>
    </w:p>
    <w:sectPr w:rsidR="00D56DD9" w:rsidRPr="00820F1E">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A08" w:rsidRDefault="001B2A08" w:rsidP="0070504A">
      <w:r>
        <w:separator/>
      </w:r>
    </w:p>
  </w:endnote>
  <w:endnote w:type="continuationSeparator" w:id="0">
    <w:p w:rsidR="001B2A08" w:rsidRDefault="001B2A08"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sugi Maru">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CE" w:rsidRDefault="007A30C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CE" w:rsidRDefault="007A30C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CE" w:rsidRDefault="007A30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A08" w:rsidRDefault="001B2A08" w:rsidP="0070504A">
      <w:r>
        <w:separator/>
      </w:r>
    </w:p>
  </w:footnote>
  <w:footnote w:type="continuationSeparator" w:id="0">
    <w:p w:rsidR="001B2A08" w:rsidRDefault="001B2A08" w:rsidP="0070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CE" w:rsidRDefault="007A30C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CE" w:rsidRDefault="007A30C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CE" w:rsidRDefault="007A30C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0C38E6"/>
    <w:rsid w:val="0017252C"/>
    <w:rsid w:val="001B2A08"/>
    <w:rsid w:val="00437531"/>
    <w:rsid w:val="00495F52"/>
    <w:rsid w:val="00692DFA"/>
    <w:rsid w:val="0070504A"/>
    <w:rsid w:val="007A30CE"/>
    <w:rsid w:val="00820F1E"/>
    <w:rsid w:val="00845474"/>
    <w:rsid w:val="009827CD"/>
    <w:rsid w:val="00A23F82"/>
    <w:rsid w:val="00BE108C"/>
    <w:rsid w:val="00CD4754"/>
    <w:rsid w:val="00CE4237"/>
    <w:rsid w:val="00D068E5"/>
    <w:rsid w:val="00D56DD9"/>
    <w:rsid w:val="00E21CA4"/>
    <w:rsid w:val="00E7123D"/>
    <w:rsid w:val="00F42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EEE89B3-7BDC-4A88-872C-EE61C389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created xsi:type="dcterms:W3CDTF">2022-04-14T09:39:00Z</dcterms:created>
  <dcterms:modified xsi:type="dcterms:W3CDTF">2022-04-14T09:39:00Z</dcterms:modified>
</cp:coreProperties>
</file>