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E7" w:rsidRPr="00F05EE7" w:rsidRDefault="00F05EE7">
      <w:pPr>
        <w:rPr>
          <w:rFonts w:ascii="BIZ UDゴシック" w:eastAsia="BIZ UDゴシック" w:hAnsi="BIZ UDゴシック"/>
          <w:sz w:val="28"/>
          <w:szCs w:val="28"/>
        </w:rPr>
      </w:pPr>
      <w:bookmarkStart w:id="0" w:name="_GoBack"/>
      <w:bookmarkEnd w:id="0"/>
      <w:r w:rsidRPr="00F05EE7">
        <w:rPr>
          <w:rFonts w:ascii="BIZ UDゴシック" w:eastAsia="BIZ UDゴシック" w:hAnsi="BIZ UDゴシック" w:hint="eastAsia"/>
          <w:sz w:val="28"/>
          <w:szCs w:val="28"/>
        </w:rPr>
        <w:t>検討の観点と内容の特色</w:t>
      </w:r>
      <w:r w:rsidRPr="00F05EE7">
        <w:rPr>
          <w:rFonts w:ascii="BIZ UDゴシック" w:eastAsia="BIZ UDゴシック" w:hAnsi="BIZ UDゴシック"/>
          <w:sz w:val="28"/>
          <w:szCs w:val="28"/>
        </w:rPr>
        <w:tab/>
      </w:r>
    </w:p>
    <w:tbl>
      <w:tblPr>
        <w:tblStyle w:val="a3"/>
        <w:tblW w:w="0" w:type="auto"/>
        <w:tblLook w:val="04A0" w:firstRow="1" w:lastRow="0" w:firstColumn="1" w:lastColumn="0" w:noHBand="0" w:noVBand="1"/>
      </w:tblPr>
      <w:tblGrid>
        <w:gridCol w:w="704"/>
        <w:gridCol w:w="4524"/>
        <w:gridCol w:w="721"/>
        <w:gridCol w:w="2693"/>
      </w:tblGrid>
      <w:tr w:rsidR="00F05EE7" w:rsidRPr="00F05EE7" w:rsidTr="00F05EE7">
        <w:trPr>
          <w:trHeight w:val="170"/>
        </w:trPr>
        <w:tc>
          <w:tcPr>
            <w:tcW w:w="704" w:type="dxa"/>
          </w:tcPr>
          <w:p w:rsidR="00F05EE7" w:rsidRPr="00F05EE7" w:rsidRDefault="00F05EE7">
            <w:pPr>
              <w:rPr>
                <w:rFonts w:ascii="Arial" w:eastAsia="BIZ UDゴシック" w:hAnsi="Arial" w:cs="Arial"/>
                <w:sz w:val="18"/>
                <w:szCs w:val="18"/>
              </w:rPr>
            </w:pPr>
            <w:r w:rsidRPr="00F05EE7">
              <w:rPr>
                <w:rFonts w:ascii="Arial" w:eastAsia="BIZ UDゴシック" w:hAnsi="Arial" w:cs="Arial"/>
                <w:sz w:val="18"/>
                <w:szCs w:val="18"/>
              </w:rPr>
              <w:t>書名</w:t>
            </w:r>
          </w:p>
        </w:tc>
        <w:tc>
          <w:tcPr>
            <w:tcW w:w="4524" w:type="dxa"/>
          </w:tcPr>
          <w:p w:rsidR="00F05EE7" w:rsidRPr="00F05EE7" w:rsidRDefault="00F05EE7" w:rsidP="00F05EE7">
            <w:pPr>
              <w:rPr>
                <w:rFonts w:ascii="Arial" w:eastAsia="BIZ UDゴシック" w:hAnsi="Arial" w:cs="Arial"/>
                <w:sz w:val="18"/>
                <w:szCs w:val="18"/>
              </w:rPr>
            </w:pPr>
            <w:r w:rsidRPr="00F05EE7">
              <w:rPr>
                <w:rFonts w:ascii="Arial" w:eastAsia="BIZ UDゴシック" w:hAnsi="Arial" w:cs="Arial"/>
                <w:sz w:val="18"/>
                <w:szCs w:val="18"/>
              </w:rPr>
              <w:t>BRIGHTEST</w:t>
            </w:r>
            <w:r w:rsidRPr="00F05EE7">
              <w:rPr>
                <w:rFonts w:ascii="Arial" w:eastAsia="BIZ UDゴシック" w:hAnsi="Arial" w:cs="Arial"/>
                <w:sz w:val="18"/>
                <w:szCs w:val="18"/>
              </w:rPr>
              <w:t xml:space="preserve"> English Communication </w:t>
            </w:r>
            <w:r w:rsidRPr="00F05EE7">
              <w:rPr>
                <w:rFonts w:ascii="Arial" w:eastAsia="BIZ UDゴシック" w:hAnsi="Arial" w:cs="Arial"/>
                <w:sz w:val="18"/>
                <w:szCs w:val="18"/>
              </w:rPr>
              <w:t>I</w:t>
            </w:r>
          </w:p>
        </w:tc>
        <w:tc>
          <w:tcPr>
            <w:tcW w:w="721" w:type="dxa"/>
          </w:tcPr>
          <w:p w:rsidR="00F05EE7" w:rsidRPr="00F05EE7" w:rsidRDefault="00F05EE7">
            <w:pPr>
              <w:rPr>
                <w:rFonts w:ascii="Arial" w:eastAsia="BIZ UDゴシック" w:hAnsi="Arial" w:cs="Arial"/>
                <w:sz w:val="18"/>
                <w:szCs w:val="18"/>
              </w:rPr>
            </w:pPr>
            <w:r w:rsidRPr="00F05EE7">
              <w:rPr>
                <w:rFonts w:ascii="Arial" w:eastAsia="BIZ UDゴシック" w:hAnsi="Arial" w:cs="Arial"/>
                <w:sz w:val="18"/>
                <w:szCs w:val="18"/>
              </w:rPr>
              <w:t>教番</w:t>
            </w:r>
          </w:p>
        </w:tc>
        <w:tc>
          <w:tcPr>
            <w:tcW w:w="2693" w:type="dxa"/>
          </w:tcPr>
          <w:p w:rsidR="00F05EE7" w:rsidRPr="00F05EE7" w:rsidRDefault="00F05EE7">
            <w:pPr>
              <w:rPr>
                <w:rFonts w:ascii="Arial" w:eastAsia="BIZ UDゴシック" w:hAnsi="Arial" w:cs="Arial"/>
                <w:sz w:val="18"/>
                <w:szCs w:val="18"/>
              </w:rPr>
            </w:pPr>
            <w:r w:rsidRPr="00F05EE7">
              <w:rPr>
                <w:rFonts w:ascii="Arial" w:eastAsia="BIZ UDゴシック" w:hAnsi="Arial" w:cs="Arial"/>
                <w:sz w:val="18"/>
                <w:szCs w:val="18"/>
              </w:rPr>
              <w:t xml:space="preserve">2 </w:t>
            </w:r>
            <w:r w:rsidRPr="00F05EE7">
              <w:rPr>
                <w:rFonts w:ascii="Arial" w:eastAsia="BIZ UDゴシック" w:hAnsi="Arial" w:cs="Arial"/>
                <w:sz w:val="18"/>
                <w:szCs w:val="18"/>
              </w:rPr>
              <w:t>東書・</w:t>
            </w:r>
            <w:r w:rsidRPr="00F05EE7">
              <w:rPr>
                <w:rFonts w:ascii="Arial" w:eastAsia="BIZ UDゴシック" w:hAnsi="Arial" w:cs="Arial"/>
                <w:sz w:val="18"/>
                <w:szCs w:val="18"/>
              </w:rPr>
              <w:t>CI 002-903</w:t>
            </w:r>
          </w:p>
        </w:tc>
      </w:tr>
    </w:tbl>
    <w:p w:rsidR="006813FB" w:rsidRPr="00F05EE7" w:rsidRDefault="006813FB">
      <w:pPr>
        <w:rPr>
          <w:rFonts w:ascii="BIZ UDゴシック" w:eastAsia="BIZ UDゴシック" w:hAnsi="BIZ UDゴシック"/>
          <w:szCs w:val="21"/>
        </w:rPr>
      </w:pPr>
    </w:p>
    <w:tbl>
      <w:tblPr>
        <w:tblStyle w:val="a3"/>
        <w:tblW w:w="0" w:type="auto"/>
        <w:tblLook w:val="04A0" w:firstRow="1" w:lastRow="0" w:firstColumn="1" w:lastColumn="0" w:noHBand="0" w:noVBand="1"/>
      </w:tblPr>
      <w:tblGrid>
        <w:gridCol w:w="1271"/>
        <w:gridCol w:w="2977"/>
        <w:gridCol w:w="6208"/>
      </w:tblGrid>
      <w:tr w:rsidR="00BA6025" w:rsidRPr="00BA6025" w:rsidTr="00F05EE7">
        <w:trPr>
          <w:trHeight w:val="360"/>
        </w:trPr>
        <w:tc>
          <w:tcPr>
            <w:tcW w:w="1271" w:type="dxa"/>
            <w:shd w:val="clear" w:color="auto" w:fill="D9D9D9" w:themeFill="background1" w:themeFillShade="D9"/>
            <w:noWrap/>
            <w:hideMark/>
          </w:tcPr>
          <w:p w:rsidR="00BA6025" w:rsidRPr="00BA6025" w:rsidRDefault="00BA6025" w:rsidP="00024F91">
            <w:pPr>
              <w:jc w:val="cente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項目</w:t>
            </w:r>
          </w:p>
        </w:tc>
        <w:tc>
          <w:tcPr>
            <w:tcW w:w="2977" w:type="dxa"/>
            <w:shd w:val="clear" w:color="auto" w:fill="D9D9D9" w:themeFill="background1" w:themeFillShade="D9"/>
            <w:noWrap/>
            <w:hideMark/>
          </w:tcPr>
          <w:p w:rsidR="00BA6025" w:rsidRPr="00BA6025" w:rsidRDefault="00BA6025" w:rsidP="00024F91">
            <w:pPr>
              <w:jc w:val="cente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観点</w:t>
            </w:r>
          </w:p>
        </w:tc>
        <w:tc>
          <w:tcPr>
            <w:tcW w:w="6208" w:type="dxa"/>
            <w:shd w:val="clear" w:color="auto" w:fill="D9D9D9" w:themeFill="background1" w:themeFillShade="D9"/>
            <w:noWrap/>
            <w:hideMark/>
          </w:tcPr>
          <w:p w:rsidR="00BA6025" w:rsidRPr="00BA6025" w:rsidRDefault="00BA6025" w:rsidP="00024F91">
            <w:pPr>
              <w:jc w:val="cente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内容の特色</w:t>
            </w:r>
          </w:p>
        </w:tc>
      </w:tr>
      <w:tr w:rsidR="00BA6025" w:rsidRPr="00BA6025" w:rsidTr="00F05EE7">
        <w:trPr>
          <w:trHeight w:val="1800"/>
        </w:trPr>
        <w:tc>
          <w:tcPr>
            <w:tcW w:w="1271" w:type="dxa"/>
            <w:hideMark/>
          </w:tcPr>
          <w:p w:rsidR="00BA6025" w:rsidRPr="00BA6025" w:rsidRDefault="00BA6025">
            <w:pP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内容の選択・程度</w:t>
            </w:r>
          </w:p>
        </w:tc>
        <w:tc>
          <w:tcPr>
            <w:tcW w:w="2977" w:type="dxa"/>
            <w:hideMark/>
          </w:tcPr>
          <w:p w:rsidR="00BA6025" w:rsidRPr="00F05EE7" w:rsidRDefault="00BA6025">
            <w:pPr>
              <w:rPr>
                <w:rFonts w:ascii="ＭＳ 明朝" w:eastAsia="ＭＳ 明朝" w:hAnsi="ＭＳ 明朝"/>
                <w:sz w:val="18"/>
                <w:szCs w:val="18"/>
              </w:rPr>
            </w:pPr>
            <w:r w:rsidRPr="00F05EE7">
              <w:rPr>
                <w:rFonts w:ascii="ＭＳ 明朝" w:eastAsia="ＭＳ 明朝" w:hAnsi="ＭＳ 明朝" w:hint="eastAsia"/>
                <w:sz w:val="18"/>
                <w:szCs w:val="18"/>
              </w:rPr>
              <w:t>＊ 基礎的・基本的事項の理解や習得のため適切な配慮がなされているか。</w:t>
            </w:r>
          </w:p>
          <w:p w:rsidR="007B6D46" w:rsidRPr="00F05EE7" w:rsidRDefault="007B6D46">
            <w:pPr>
              <w:rPr>
                <w:rFonts w:ascii="ＭＳ 明朝" w:eastAsia="ＭＳ 明朝" w:hAnsi="ＭＳ 明朝"/>
                <w:sz w:val="18"/>
                <w:szCs w:val="18"/>
              </w:rPr>
            </w:pPr>
            <w:r w:rsidRPr="00F05EE7">
              <w:rPr>
                <w:rFonts w:ascii="ＭＳ 明朝" w:eastAsia="ＭＳ 明朝" w:hAnsi="ＭＳ 明朝" w:hint="eastAsia"/>
                <w:sz w:val="18"/>
                <w:szCs w:val="18"/>
              </w:rPr>
              <w:t>＊</w:t>
            </w:r>
            <w:r w:rsidRPr="00F05EE7">
              <w:rPr>
                <w:rFonts w:ascii="ＭＳ 明朝" w:eastAsia="ＭＳ 明朝" w:hAnsi="ＭＳ 明朝"/>
                <w:sz w:val="18"/>
                <w:szCs w:val="18"/>
              </w:rPr>
              <w:t xml:space="preserve"> 学習指導要領の教科の目標を達成するため必要な教材が適切に用意されているか。</w:t>
            </w:r>
          </w:p>
        </w:tc>
        <w:tc>
          <w:tcPr>
            <w:tcW w:w="6208" w:type="dxa"/>
            <w:hideMark/>
          </w:tcPr>
          <w:p w:rsidR="00024F91"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学習内容が一目瞭然のシンプルな紙面構成の中に、学習者の知的好奇心に訴える題材が配置されており、単元構成の工夫と相まって、指導しやすく学習効果を上げられるように配慮されている。</w:t>
            </w:r>
          </w:p>
          <w:p w:rsidR="00BA6025" w:rsidRPr="00F05EE7"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教材は、「歴史」「難民問題」などの人文・社会系題材に加え、「食品科学」「脳科学」などの理系題材や、「日本文化・工学」「行動科学」といった文理融合題材が充実しており、興味・関心を持って学習が進められるように配慮されている。</w:t>
            </w:r>
          </w:p>
        </w:tc>
      </w:tr>
      <w:tr w:rsidR="00BA6025" w:rsidRPr="00BA6025" w:rsidTr="00F05EE7">
        <w:trPr>
          <w:trHeight w:val="3240"/>
        </w:trPr>
        <w:tc>
          <w:tcPr>
            <w:tcW w:w="1271" w:type="dxa"/>
            <w:hideMark/>
          </w:tcPr>
          <w:p w:rsidR="00BA6025" w:rsidRPr="00BA6025" w:rsidRDefault="00BA6025">
            <w:pP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組織・配列・分量</w:t>
            </w:r>
          </w:p>
        </w:tc>
        <w:tc>
          <w:tcPr>
            <w:tcW w:w="2977" w:type="dxa"/>
            <w:hideMark/>
          </w:tcPr>
          <w:p w:rsidR="00BA6025" w:rsidRPr="00F05EE7" w:rsidRDefault="00BA6025">
            <w:pPr>
              <w:rPr>
                <w:rFonts w:ascii="ＭＳ 明朝" w:eastAsia="ＭＳ 明朝" w:hAnsi="ＭＳ 明朝"/>
                <w:sz w:val="18"/>
                <w:szCs w:val="18"/>
              </w:rPr>
            </w:pPr>
            <w:r w:rsidRPr="00F05EE7">
              <w:rPr>
                <w:rFonts w:ascii="ＭＳ 明朝" w:eastAsia="ＭＳ 明朝" w:hAnsi="ＭＳ 明朝" w:hint="eastAsia"/>
                <w:sz w:val="18"/>
                <w:szCs w:val="18"/>
              </w:rPr>
              <w:t>＊ 内容の組織・配列は、学習指導を有効に進められるように考慮されているか。</w:t>
            </w:r>
            <w:r w:rsidRPr="00F05EE7">
              <w:rPr>
                <w:rFonts w:ascii="ＭＳ 明朝" w:eastAsia="ＭＳ 明朝" w:hAnsi="ＭＳ 明朝" w:hint="eastAsia"/>
                <w:sz w:val="18"/>
                <w:szCs w:val="18"/>
              </w:rPr>
              <w:br/>
              <w:t>＊ 分量は学習指導を有効に進められるように考慮されているか。</w:t>
            </w:r>
            <w:r w:rsidRPr="00F05EE7">
              <w:rPr>
                <w:rFonts w:ascii="ＭＳ 明朝" w:eastAsia="ＭＳ 明朝" w:hAnsi="ＭＳ 明朝" w:hint="eastAsia"/>
                <w:sz w:val="18"/>
                <w:szCs w:val="18"/>
              </w:rPr>
              <w:br/>
              <w:t>＊ 中高の接続に対する配慮がなされているか。</w:t>
            </w:r>
            <w:r w:rsidRPr="00F05EE7">
              <w:rPr>
                <w:rFonts w:ascii="ＭＳ 明朝" w:eastAsia="ＭＳ 明朝" w:hAnsi="ＭＳ 明朝" w:hint="eastAsia"/>
                <w:sz w:val="18"/>
                <w:szCs w:val="18"/>
              </w:rPr>
              <w:br/>
              <w:t>＊ 弾力的な取り扱いに対する配慮がなされているか。</w:t>
            </w:r>
          </w:p>
        </w:tc>
        <w:tc>
          <w:tcPr>
            <w:tcW w:w="6208" w:type="dxa"/>
            <w:hideMark/>
          </w:tcPr>
          <w:p w:rsidR="00BA6025" w:rsidRPr="00F05EE7"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各課は、導入から理解、整理、発信・発展までの学習の流れが明確で、効率的に学習できるよう配慮されている。本文に加えて、各課末に補充の読み物が用意されており、学習効果が上がるように工夫されている。</w:t>
            </w:r>
            <w:r w:rsidRPr="00F05EE7">
              <w:rPr>
                <w:rFonts w:ascii="ＭＳ 明朝" w:eastAsia="ＭＳ 明朝" w:hAnsi="ＭＳ 明朝" w:hint="eastAsia"/>
                <w:sz w:val="18"/>
                <w:szCs w:val="18"/>
              </w:rPr>
              <w:br/>
              <w:t>○ 本課数は10（1学期4、2学期4、3学期2）であり、年間指導時数から見て余裕を持って指導できるように配慮されている。</w:t>
            </w:r>
            <w:r w:rsidRPr="00F05EE7">
              <w:rPr>
                <w:rFonts w:ascii="ＭＳ 明朝" w:eastAsia="ＭＳ 明朝" w:hAnsi="ＭＳ 明朝" w:hint="eastAsia"/>
                <w:sz w:val="18"/>
                <w:szCs w:val="18"/>
              </w:rPr>
              <w:br/>
              <w:t>○ 学習する文法事項に関して、IはLesson 3までは原則として「中学校で学んだ文法事項の復習」であり、中高の接続にも適切な配慮がなされている。</w:t>
            </w:r>
            <w:r w:rsidRPr="00F05EE7">
              <w:rPr>
                <w:rFonts w:ascii="ＭＳ 明朝" w:eastAsia="ＭＳ 明朝" w:hAnsi="ＭＳ 明朝" w:hint="eastAsia"/>
                <w:sz w:val="18"/>
                <w:szCs w:val="18"/>
              </w:rPr>
              <w:br/>
              <w:t>○ 教材バランス、全体的分量も適切であり、コラム、補充教材、付録も充実しており、機能的で充実した授業展開ができるよう配慮されている。</w:t>
            </w:r>
          </w:p>
        </w:tc>
      </w:tr>
      <w:tr w:rsidR="00BA6025" w:rsidRPr="00BA6025" w:rsidTr="00F05EE7">
        <w:trPr>
          <w:trHeight w:val="3168"/>
        </w:trPr>
        <w:tc>
          <w:tcPr>
            <w:tcW w:w="1271" w:type="dxa"/>
            <w:hideMark/>
          </w:tcPr>
          <w:p w:rsidR="00BA6025" w:rsidRPr="00BA6025" w:rsidRDefault="00BA6025">
            <w:pP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表記・表現及び指導に対する工夫や配慮</w:t>
            </w:r>
          </w:p>
        </w:tc>
        <w:tc>
          <w:tcPr>
            <w:tcW w:w="2977" w:type="dxa"/>
            <w:hideMark/>
          </w:tcPr>
          <w:p w:rsidR="00BA6025" w:rsidRPr="00F05EE7" w:rsidRDefault="00BA6025">
            <w:pPr>
              <w:rPr>
                <w:rFonts w:ascii="ＭＳ 明朝" w:eastAsia="ＭＳ 明朝" w:hAnsi="ＭＳ 明朝"/>
                <w:sz w:val="18"/>
                <w:szCs w:val="18"/>
              </w:rPr>
            </w:pPr>
            <w:r w:rsidRPr="00F05EE7">
              <w:rPr>
                <w:rFonts w:ascii="ＭＳ 明朝" w:eastAsia="ＭＳ 明朝" w:hAnsi="ＭＳ 明朝" w:hint="eastAsia"/>
                <w:sz w:val="18"/>
                <w:szCs w:val="18"/>
              </w:rPr>
              <w:t>＊ 学習意欲を高めるための配慮がなされているか。</w:t>
            </w:r>
            <w:r w:rsidRPr="00F05EE7">
              <w:rPr>
                <w:rFonts w:ascii="ＭＳ 明朝" w:eastAsia="ＭＳ 明朝" w:hAnsi="ＭＳ 明朝" w:hint="eastAsia"/>
                <w:sz w:val="18"/>
                <w:szCs w:val="18"/>
              </w:rPr>
              <w:br/>
              <w:t>＊ 用語・記号の取り上げ方や記述の仕方は適切か。</w:t>
            </w:r>
            <w:r w:rsidRPr="00F05EE7">
              <w:rPr>
                <w:rFonts w:ascii="ＭＳ 明朝" w:eastAsia="ＭＳ 明朝" w:hAnsi="ＭＳ 明朝" w:hint="eastAsia"/>
                <w:sz w:val="18"/>
                <w:szCs w:val="18"/>
              </w:rPr>
              <w:br/>
              <w:t>＊ 生徒の自学自習への配慮や工夫がなされているか。</w:t>
            </w:r>
            <w:r w:rsidRPr="00F05EE7">
              <w:rPr>
                <w:rFonts w:ascii="ＭＳ 明朝" w:eastAsia="ＭＳ 明朝" w:hAnsi="ＭＳ 明朝" w:hint="eastAsia"/>
                <w:sz w:val="18"/>
                <w:szCs w:val="18"/>
              </w:rPr>
              <w:br/>
              <w:t>＊ 指導書や周辺教材での工夫や配慮がなされているか。</w:t>
            </w:r>
          </w:p>
        </w:tc>
        <w:tc>
          <w:tcPr>
            <w:tcW w:w="6208" w:type="dxa"/>
            <w:hideMark/>
          </w:tcPr>
          <w:p w:rsidR="00024F91"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全ページフルカラーであり、メリハリのきいた紙面構成と相まって学習意欲が高められるよう配慮されている。</w:t>
            </w:r>
          </w:p>
          <w:p w:rsidR="00024F91"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用語・記号は統一されており、記述の仕方も適切である。</w:t>
            </w:r>
          </w:p>
          <w:p w:rsidR="00024F91"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ほぼすべての記述は英語で書かれているが、文法の説明や４技能の運用に役立つコラム類などは日本語による記述であり、生徒の自学自習に配慮されている。</w:t>
            </w:r>
          </w:p>
          <w:p w:rsidR="00BA6025" w:rsidRPr="00F05EE7"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教科書を支援する指導書や周辺教材などが充実しており、指導しやすい教科書である。</w:t>
            </w:r>
          </w:p>
        </w:tc>
      </w:tr>
      <w:tr w:rsidR="00BA6025" w:rsidRPr="00BA6025" w:rsidTr="00F05EE7">
        <w:trPr>
          <w:trHeight w:val="2112"/>
        </w:trPr>
        <w:tc>
          <w:tcPr>
            <w:tcW w:w="1271" w:type="dxa"/>
            <w:hideMark/>
          </w:tcPr>
          <w:p w:rsidR="00BA6025" w:rsidRPr="00BA6025" w:rsidRDefault="00BA6025">
            <w:pP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印刷・造本上の配慮</w:t>
            </w:r>
          </w:p>
        </w:tc>
        <w:tc>
          <w:tcPr>
            <w:tcW w:w="2977" w:type="dxa"/>
            <w:hideMark/>
          </w:tcPr>
          <w:p w:rsidR="00BA6025" w:rsidRPr="00F05EE7" w:rsidRDefault="00BA6025">
            <w:pPr>
              <w:rPr>
                <w:rFonts w:ascii="ＭＳ 明朝" w:eastAsia="ＭＳ 明朝" w:hAnsi="ＭＳ 明朝"/>
                <w:sz w:val="18"/>
                <w:szCs w:val="18"/>
              </w:rPr>
            </w:pPr>
            <w:r w:rsidRPr="00F05EE7">
              <w:rPr>
                <w:rFonts w:ascii="ＭＳ 明朝" w:eastAsia="ＭＳ 明朝" w:hAnsi="ＭＳ 明朝" w:hint="eastAsia"/>
                <w:sz w:val="18"/>
                <w:szCs w:val="18"/>
              </w:rPr>
              <w:t>＊ 印刷の鮮明さ、活字の大きさ、行間、製本などは適切か。</w:t>
            </w:r>
          </w:p>
        </w:tc>
        <w:tc>
          <w:tcPr>
            <w:tcW w:w="6208" w:type="dxa"/>
            <w:hideMark/>
          </w:tcPr>
          <w:p w:rsidR="00024F91"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文字は鮮明で美しく、写真、イラストなども鮮明で効果的である。</w:t>
            </w:r>
          </w:p>
          <w:p w:rsidR="00024F91"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製本は堅牢で、開きやすい様式である。</w:t>
            </w:r>
          </w:p>
          <w:p w:rsidR="00024F91"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w:t>
            </w:r>
            <w:r w:rsidR="00B81057" w:rsidRPr="00F05EE7">
              <w:rPr>
                <w:rFonts w:ascii="ＭＳ 明朝" w:eastAsia="ＭＳ 明朝" w:hAnsi="ＭＳ 明朝" w:hint="eastAsia"/>
                <w:sz w:val="18"/>
                <w:szCs w:val="18"/>
              </w:rPr>
              <w:t xml:space="preserve"> </w:t>
            </w:r>
            <w:r w:rsidRPr="00F05EE7">
              <w:rPr>
                <w:rFonts w:ascii="ＭＳ 明朝" w:eastAsia="ＭＳ 明朝" w:hAnsi="ＭＳ 明朝" w:hint="eastAsia"/>
                <w:sz w:val="18"/>
                <w:szCs w:val="18"/>
              </w:rPr>
              <w:t>図やグラフの色使いなど、色覚特性への配慮を含むユニバーサルデザインとなっており、全ページにわたって配色を工夫するなど、だれもが見やすい紙面になっている。</w:t>
            </w:r>
          </w:p>
          <w:p w:rsidR="00BA6025" w:rsidRPr="00F05EE7"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w:t>
            </w:r>
            <w:r w:rsidR="00B81057" w:rsidRPr="00F05EE7">
              <w:rPr>
                <w:rFonts w:ascii="ＭＳ 明朝" w:eastAsia="ＭＳ 明朝" w:hAnsi="ＭＳ 明朝" w:hint="eastAsia"/>
                <w:sz w:val="18"/>
                <w:szCs w:val="18"/>
              </w:rPr>
              <w:t xml:space="preserve"> </w:t>
            </w:r>
            <w:r w:rsidRPr="00F05EE7">
              <w:rPr>
                <w:rFonts w:ascii="ＭＳ 明朝" w:eastAsia="ＭＳ 明朝" w:hAnsi="ＭＳ 明朝" w:hint="eastAsia"/>
                <w:sz w:val="18"/>
                <w:szCs w:val="18"/>
              </w:rPr>
              <w:t>本文の用紙には再生紙と植物油インキを使用し、地球環境や資源に及ぼす影響も考慮されている。</w:t>
            </w:r>
          </w:p>
        </w:tc>
      </w:tr>
      <w:tr w:rsidR="00BA6025" w:rsidRPr="00BA6025" w:rsidTr="00F05EE7">
        <w:trPr>
          <w:trHeight w:val="1080"/>
        </w:trPr>
        <w:tc>
          <w:tcPr>
            <w:tcW w:w="1271" w:type="dxa"/>
            <w:hideMark/>
          </w:tcPr>
          <w:p w:rsidR="00BA6025" w:rsidRPr="00BA6025" w:rsidRDefault="00BA6025">
            <w:pPr>
              <w:rPr>
                <w:rFonts w:ascii="BIZ UDゴシック" w:eastAsia="BIZ UDゴシック" w:hAnsi="BIZ UDゴシック"/>
                <w:sz w:val="18"/>
                <w:szCs w:val="18"/>
              </w:rPr>
            </w:pPr>
            <w:r w:rsidRPr="00BA6025">
              <w:rPr>
                <w:rFonts w:ascii="BIZ UDゴシック" w:eastAsia="BIZ UDゴシック" w:hAnsi="BIZ UDゴシック" w:hint="eastAsia"/>
                <w:sz w:val="18"/>
                <w:szCs w:val="18"/>
              </w:rPr>
              <w:t>総合所見</w:t>
            </w:r>
          </w:p>
        </w:tc>
        <w:tc>
          <w:tcPr>
            <w:tcW w:w="2977" w:type="dxa"/>
            <w:hideMark/>
          </w:tcPr>
          <w:p w:rsidR="00BA6025" w:rsidRPr="00F05EE7" w:rsidRDefault="00BA6025">
            <w:pPr>
              <w:rPr>
                <w:rFonts w:ascii="ＭＳ 明朝" w:eastAsia="ＭＳ 明朝" w:hAnsi="ＭＳ 明朝"/>
                <w:sz w:val="18"/>
                <w:szCs w:val="18"/>
              </w:rPr>
            </w:pPr>
            <w:r w:rsidRPr="00F05EE7">
              <w:rPr>
                <w:rFonts w:ascii="ＭＳ 明朝" w:eastAsia="ＭＳ 明朝" w:hAnsi="ＭＳ 明朝" w:hint="eastAsia"/>
                <w:sz w:val="18"/>
                <w:szCs w:val="18"/>
              </w:rPr>
              <w:t>＊ 上記観点から見た、全体的・総合的な当教科書の特徴。</w:t>
            </w:r>
          </w:p>
        </w:tc>
        <w:tc>
          <w:tcPr>
            <w:tcW w:w="6208" w:type="dxa"/>
            <w:hideMark/>
          </w:tcPr>
          <w:p w:rsidR="00BA6025" w:rsidRPr="00F05EE7" w:rsidRDefault="00BA6025" w:rsidP="00024F91">
            <w:pPr>
              <w:ind w:left="180" w:hangingChars="100" w:hanging="180"/>
              <w:rPr>
                <w:rFonts w:ascii="ＭＳ 明朝" w:eastAsia="ＭＳ 明朝" w:hAnsi="ＭＳ 明朝"/>
                <w:sz w:val="18"/>
                <w:szCs w:val="18"/>
              </w:rPr>
            </w:pPr>
            <w:r w:rsidRPr="00F05EE7">
              <w:rPr>
                <w:rFonts w:ascii="ＭＳ 明朝" w:eastAsia="ＭＳ 明朝" w:hAnsi="ＭＳ 明朝" w:hint="eastAsia"/>
                <w:sz w:val="18"/>
                <w:szCs w:val="18"/>
              </w:rPr>
              <w:t>○ 教科目標達成に必要な学習事項が適切に配置されていることに加え、学習のポイントを押さえた機能的な単元構成の工夫、活動に結び付きやすい魅力ある題材、指導時数を考慮した分量など、使いやすく、標準的な生徒の英語力を確実に向上させるバランスのとれた教科書である。</w:t>
            </w:r>
          </w:p>
        </w:tc>
      </w:tr>
    </w:tbl>
    <w:p w:rsidR="006813FB" w:rsidRPr="0099604C" w:rsidRDefault="006813FB" w:rsidP="00F05EE7">
      <w:pPr>
        <w:spacing w:line="160" w:lineRule="exact"/>
        <w:rPr>
          <w:rFonts w:ascii="BIZ UDゴシック" w:eastAsia="BIZ UDゴシック" w:hAnsi="BIZ UDゴシック" w:hint="eastAsia"/>
          <w:sz w:val="24"/>
          <w:szCs w:val="24"/>
        </w:rPr>
      </w:pPr>
    </w:p>
    <w:sectPr w:rsidR="006813FB" w:rsidRPr="0099604C" w:rsidSect="006813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88F" w:rsidRDefault="00DB388F" w:rsidP="00F05EE7">
      <w:r>
        <w:separator/>
      </w:r>
    </w:p>
  </w:endnote>
  <w:endnote w:type="continuationSeparator" w:id="0">
    <w:p w:rsidR="00DB388F" w:rsidRDefault="00DB388F" w:rsidP="00F0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88F" w:rsidRDefault="00DB388F" w:rsidP="00F05EE7">
      <w:r>
        <w:separator/>
      </w:r>
    </w:p>
  </w:footnote>
  <w:footnote w:type="continuationSeparator" w:id="0">
    <w:p w:rsidR="00DB388F" w:rsidRDefault="00DB388F" w:rsidP="00F05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97"/>
    <w:rsid w:val="00024F91"/>
    <w:rsid w:val="000C14C6"/>
    <w:rsid w:val="00302DAA"/>
    <w:rsid w:val="00543516"/>
    <w:rsid w:val="006813FB"/>
    <w:rsid w:val="007B6D46"/>
    <w:rsid w:val="00967597"/>
    <w:rsid w:val="0099604C"/>
    <w:rsid w:val="00B81057"/>
    <w:rsid w:val="00BA6025"/>
    <w:rsid w:val="00D35940"/>
    <w:rsid w:val="00DB388F"/>
    <w:rsid w:val="00F05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67C3A3"/>
  <w15:chartTrackingRefBased/>
  <w15:docId w15:val="{EAA63000-9D70-4BA3-9792-9C05D6AE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1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EE7"/>
    <w:pPr>
      <w:tabs>
        <w:tab w:val="center" w:pos="4252"/>
        <w:tab w:val="right" w:pos="8504"/>
      </w:tabs>
      <w:snapToGrid w:val="0"/>
    </w:pPr>
  </w:style>
  <w:style w:type="character" w:customStyle="1" w:styleId="a5">
    <w:name w:val="ヘッダー (文字)"/>
    <w:basedOn w:val="a0"/>
    <w:link w:val="a4"/>
    <w:uiPriority w:val="99"/>
    <w:rsid w:val="00F05EE7"/>
  </w:style>
  <w:style w:type="paragraph" w:styleId="a6">
    <w:name w:val="footer"/>
    <w:basedOn w:val="a"/>
    <w:link w:val="a7"/>
    <w:uiPriority w:val="99"/>
    <w:unhideWhenUsed/>
    <w:rsid w:val="00F05EE7"/>
    <w:pPr>
      <w:tabs>
        <w:tab w:val="center" w:pos="4252"/>
        <w:tab w:val="right" w:pos="8504"/>
      </w:tabs>
      <w:snapToGrid w:val="0"/>
    </w:pPr>
  </w:style>
  <w:style w:type="character" w:customStyle="1" w:styleId="a7">
    <w:name w:val="フッター (文字)"/>
    <w:basedOn w:val="a0"/>
    <w:link w:val="a6"/>
    <w:uiPriority w:val="99"/>
    <w:rsid w:val="00F05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31239">
      <w:bodyDiv w:val="1"/>
      <w:marLeft w:val="0"/>
      <w:marRight w:val="0"/>
      <w:marTop w:val="0"/>
      <w:marBottom w:val="0"/>
      <w:divBdr>
        <w:top w:val="none" w:sz="0" w:space="0" w:color="auto"/>
        <w:left w:val="none" w:sz="0" w:space="0" w:color="auto"/>
        <w:bottom w:val="none" w:sz="0" w:space="0" w:color="auto"/>
        <w:right w:val="none" w:sz="0" w:space="0" w:color="auto"/>
      </w:divBdr>
    </w:div>
    <w:div w:id="642350355">
      <w:bodyDiv w:val="1"/>
      <w:marLeft w:val="0"/>
      <w:marRight w:val="0"/>
      <w:marTop w:val="0"/>
      <w:marBottom w:val="0"/>
      <w:divBdr>
        <w:top w:val="none" w:sz="0" w:space="0" w:color="auto"/>
        <w:left w:val="none" w:sz="0" w:space="0" w:color="auto"/>
        <w:bottom w:val="none" w:sz="0" w:space="0" w:color="auto"/>
        <w:right w:val="none" w:sz="0" w:space="0" w:color="auto"/>
      </w:divBdr>
    </w:div>
    <w:div w:id="846360135">
      <w:bodyDiv w:val="1"/>
      <w:marLeft w:val="0"/>
      <w:marRight w:val="0"/>
      <w:marTop w:val="0"/>
      <w:marBottom w:val="0"/>
      <w:divBdr>
        <w:top w:val="none" w:sz="0" w:space="0" w:color="auto"/>
        <w:left w:val="none" w:sz="0" w:space="0" w:color="auto"/>
        <w:bottom w:val="none" w:sz="0" w:space="0" w:color="auto"/>
        <w:right w:val="none" w:sz="0" w:space="0" w:color="auto"/>
      </w:divBdr>
    </w:div>
    <w:div w:id="893853341">
      <w:bodyDiv w:val="1"/>
      <w:marLeft w:val="0"/>
      <w:marRight w:val="0"/>
      <w:marTop w:val="0"/>
      <w:marBottom w:val="0"/>
      <w:divBdr>
        <w:top w:val="none" w:sz="0" w:space="0" w:color="auto"/>
        <w:left w:val="none" w:sz="0" w:space="0" w:color="auto"/>
        <w:bottom w:val="none" w:sz="0" w:space="0" w:color="auto"/>
        <w:right w:val="none" w:sz="0" w:space="0" w:color="auto"/>
      </w:divBdr>
    </w:div>
    <w:div w:id="907689999">
      <w:bodyDiv w:val="1"/>
      <w:marLeft w:val="0"/>
      <w:marRight w:val="0"/>
      <w:marTop w:val="0"/>
      <w:marBottom w:val="0"/>
      <w:divBdr>
        <w:top w:val="none" w:sz="0" w:space="0" w:color="auto"/>
        <w:left w:val="none" w:sz="0" w:space="0" w:color="auto"/>
        <w:bottom w:val="none" w:sz="0" w:space="0" w:color="auto"/>
        <w:right w:val="none" w:sz="0" w:space="0" w:color="auto"/>
      </w:divBdr>
    </w:div>
    <w:div w:id="973559517">
      <w:bodyDiv w:val="1"/>
      <w:marLeft w:val="0"/>
      <w:marRight w:val="0"/>
      <w:marTop w:val="0"/>
      <w:marBottom w:val="0"/>
      <w:divBdr>
        <w:top w:val="none" w:sz="0" w:space="0" w:color="auto"/>
        <w:left w:val="none" w:sz="0" w:space="0" w:color="auto"/>
        <w:bottom w:val="none" w:sz="0" w:space="0" w:color="auto"/>
        <w:right w:val="none" w:sz="0" w:space="0" w:color="auto"/>
      </w:divBdr>
    </w:div>
    <w:div w:id="1666979986">
      <w:bodyDiv w:val="1"/>
      <w:marLeft w:val="0"/>
      <w:marRight w:val="0"/>
      <w:marTop w:val="0"/>
      <w:marBottom w:val="0"/>
      <w:divBdr>
        <w:top w:val="none" w:sz="0" w:space="0" w:color="auto"/>
        <w:left w:val="none" w:sz="0" w:space="0" w:color="auto"/>
        <w:bottom w:val="none" w:sz="0" w:space="0" w:color="auto"/>
        <w:right w:val="none" w:sz="0" w:space="0" w:color="auto"/>
      </w:divBdr>
    </w:div>
    <w:div w:id="1683510518">
      <w:bodyDiv w:val="1"/>
      <w:marLeft w:val="0"/>
      <w:marRight w:val="0"/>
      <w:marTop w:val="0"/>
      <w:marBottom w:val="0"/>
      <w:divBdr>
        <w:top w:val="none" w:sz="0" w:space="0" w:color="auto"/>
        <w:left w:val="none" w:sz="0" w:space="0" w:color="auto"/>
        <w:bottom w:val="none" w:sz="0" w:space="0" w:color="auto"/>
        <w:right w:val="none" w:sz="0" w:space="0" w:color="auto"/>
      </w:divBdr>
    </w:div>
    <w:div w:id="18696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224</Words>
  <Characters>1282</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2025-03-21T08:48:00Z</dcterms:created>
  <dcterms:modified xsi:type="dcterms:W3CDTF">2025-03-21T08:52:00Z</dcterms:modified>
</cp:coreProperties>
</file>