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MS Gothic" w:cs="MS Gothic" w:eastAsia="MS Gothic" w:hAnsi="MS Gothic"/>
          <w:b w:val="1"/>
          <w:sz w:val="20"/>
          <w:szCs w:val="20"/>
        </w:rPr>
      </w:pPr>
      <w:r w:rsidDel="00000000" w:rsidR="00000000" w:rsidRPr="00000000">
        <w:rPr>
          <w:rtl w:val="0"/>
        </w:rPr>
      </w:r>
    </w:p>
    <w:tbl>
      <w:tblPr>
        <w:tblStyle w:val="Table1"/>
        <w:tblW w:w="7834.000000000001"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6"/>
        <w:gridCol w:w="2908"/>
        <w:gridCol w:w="669"/>
        <w:gridCol w:w="3631"/>
        <w:tblGridChange w:id="0">
          <w:tblGrid>
            <w:gridCol w:w="626"/>
            <w:gridCol w:w="2908"/>
            <w:gridCol w:w="669"/>
            <w:gridCol w:w="3631"/>
          </w:tblGrid>
        </w:tblGridChange>
      </w:tblGrid>
      <w:tr>
        <w:trPr>
          <w:cantSplit w:val="0"/>
          <w:trHeight w:val="300" w:hRule="atLeast"/>
          <w:tblHeader w:val="0"/>
        </w:trPr>
        <w:tc>
          <w:tcPr>
            <w:vAlign w:val="center"/>
          </w:tcPr>
          <w:p w:rsidR="00000000" w:rsidDel="00000000" w:rsidP="00000000" w:rsidRDefault="00000000" w:rsidRPr="00000000" w14:paraId="00000002">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書名</w:t>
            </w:r>
          </w:p>
        </w:tc>
        <w:tc>
          <w:tcPr>
            <w:vAlign w:val="center"/>
          </w:tcPr>
          <w:p w:rsidR="00000000" w:rsidDel="00000000" w:rsidP="00000000" w:rsidRDefault="00000000" w:rsidRPr="00000000" w14:paraId="00000003">
            <w:pPr>
              <w:ind w:left="6" w:firstLine="0"/>
              <w:jc w:val="left"/>
              <w:rPr>
                <w:rFonts w:ascii="MS Gothic" w:cs="MS Gothic" w:eastAsia="MS Gothic" w:hAnsi="MS Gothic"/>
                <w:sz w:val="20"/>
                <w:szCs w:val="20"/>
              </w:rPr>
            </w:pPr>
            <w:r w:rsidDel="00000000" w:rsidR="00000000" w:rsidRPr="00000000">
              <w:rPr>
                <w:rFonts w:ascii="Century" w:cs="Century" w:eastAsia="Century" w:hAnsi="Century"/>
                <w:sz w:val="20"/>
                <w:szCs w:val="20"/>
                <w:rtl w:val="0"/>
              </w:rPr>
              <w:t xml:space="preserve">All Aboard!Ⅲ</w:t>
            </w:r>
            <w:r w:rsidDel="00000000" w:rsidR="00000000" w:rsidRPr="00000000">
              <w:rPr>
                <w:rtl w:val="0"/>
              </w:rPr>
            </w:r>
          </w:p>
        </w:tc>
        <w:tc>
          <w:tcPr>
            <w:vAlign w:val="center"/>
          </w:tcPr>
          <w:p w:rsidR="00000000" w:rsidDel="00000000" w:rsidP="00000000" w:rsidRDefault="00000000" w:rsidRPr="00000000" w14:paraId="00000004">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教番</w:t>
            </w:r>
          </w:p>
        </w:tc>
        <w:tc>
          <w:tcPr>
            <w:vAlign w:val="center"/>
          </w:tcPr>
          <w:p w:rsidR="00000000" w:rsidDel="00000000" w:rsidP="00000000" w:rsidRDefault="00000000" w:rsidRPr="00000000" w14:paraId="00000005">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2 東書・ＣⅢ701</w:t>
            </w:r>
          </w:p>
        </w:tc>
      </w:tr>
    </w:tbl>
    <w:p w:rsidR="00000000" w:rsidDel="00000000" w:rsidP="00000000" w:rsidRDefault="00000000" w:rsidRPr="00000000" w14:paraId="00000006">
      <w:pPr>
        <w:ind w:right="420"/>
        <w:jc w:val="left"/>
        <w:rPr>
          <w:rFonts w:ascii="MS PGothic" w:cs="MS PGothic" w:eastAsia="MS PGothic" w:hAnsi="MS PGothic"/>
          <w:sz w:val="20"/>
          <w:szCs w:val="20"/>
        </w:rPr>
      </w:pPr>
      <w:r w:rsidDel="00000000" w:rsidR="00000000" w:rsidRPr="00000000">
        <w:rPr>
          <w:rtl w:val="0"/>
        </w:rPr>
      </w:r>
    </w:p>
    <w:tbl>
      <w:tblPr>
        <w:tblStyle w:val="Table2"/>
        <w:tblW w:w="1011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1"/>
        <w:gridCol w:w="3105"/>
        <w:gridCol w:w="5669"/>
        <w:tblGridChange w:id="0">
          <w:tblGrid>
            <w:gridCol w:w="1341"/>
            <w:gridCol w:w="3105"/>
            <w:gridCol w:w="5669"/>
          </w:tblGrid>
        </w:tblGridChange>
      </w:tblGrid>
      <w:tr>
        <w:trPr>
          <w:cantSplit w:val="0"/>
          <w:tblHeader w:val="1"/>
        </w:trPr>
        <w:tc>
          <w:tcPr>
            <w:vAlign w:val="center"/>
          </w:tcPr>
          <w:p w:rsidR="00000000" w:rsidDel="00000000" w:rsidP="00000000" w:rsidRDefault="00000000" w:rsidRPr="00000000" w14:paraId="00000007">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項　目</w:t>
            </w:r>
          </w:p>
        </w:tc>
        <w:tc>
          <w:tcPr>
            <w:vAlign w:val="center"/>
          </w:tcPr>
          <w:p w:rsidR="00000000" w:rsidDel="00000000" w:rsidP="00000000" w:rsidRDefault="00000000" w:rsidRPr="00000000" w14:paraId="00000008">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観　点</w:t>
            </w:r>
          </w:p>
        </w:tc>
        <w:tc>
          <w:tcPr>
            <w:vAlign w:val="center"/>
          </w:tcPr>
          <w:p w:rsidR="00000000" w:rsidDel="00000000" w:rsidP="00000000" w:rsidRDefault="00000000" w:rsidRPr="00000000" w14:paraId="00000009">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内容の特色</w:t>
            </w:r>
          </w:p>
        </w:tc>
      </w:tr>
      <w:tr>
        <w:trPr>
          <w:cantSplit w:val="0"/>
          <w:trHeight w:val="234" w:hRule="atLeast"/>
          <w:tblHeader w:val="0"/>
        </w:trPr>
        <w:tc>
          <w:tcPr/>
          <w:p w:rsidR="00000000" w:rsidDel="00000000" w:rsidP="00000000" w:rsidRDefault="00000000" w:rsidRPr="00000000" w14:paraId="0000000A">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内容の選択・程度</w:t>
            </w:r>
          </w:p>
        </w:tc>
        <w:tc>
          <w:tcPr/>
          <w:p w:rsidR="00000000" w:rsidDel="00000000" w:rsidP="00000000" w:rsidRDefault="00000000" w:rsidRPr="00000000" w14:paraId="0000000B">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＊学習指導要領の教科の目標を達成するため必要な教材が適切に用意されているか。</w:t>
            </w:r>
          </w:p>
          <w:p w:rsidR="00000000" w:rsidDel="00000000" w:rsidP="00000000" w:rsidRDefault="00000000" w:rsidRPr="00000000" w14:paraId="0000000C">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＊基礎的・基本的事項の理解や習得のため適切な配慮がなされているか。</w:t>
            </w:r>
          </w:p>
          <w:p w:rsidR="00000000" w:rsidDel="00000000" w:rsidP="00000000" w:rsidRDefault="00000000" w:rsidRPr="00000000" w14:paraId="0000000D">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＊発展的な学習内容の取り扱いに対する適切な配慮がなされているか。</w:t>
            </w:r>
          </w:p>
        </w:tc>
        <w:tc>
          <w:tcPr/>
          <w:p w:rsidR="00000000" w:rsidDel="00000000" w:rsidP="00000000" w:rsidRDefault="00000000" w:rsidRPr="00000000" w14:paraId="0000000E">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学習内容が一目瞭然のシンプルな紙面構成の中に，学習者の心情・知性にうったえるバラエティーに富んだ題材が厳選して配置されており，単元構成の工夫と相まって，指導しやすく学習効果を上げられるように配慮されている。</w:t>
            </w:r>
          </w:p>
          <w:p w:rsidR="00000000" w:rsidDel="00000000" w:rsidP="00000000" w:rsidRDefault="00000000" w:rsidRPr="00000000" w14:paraId="0000000F">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レッスンの本文は見開き2～4ページで，比較的理解しやすい英文で構成されている。取り上げる新出文法事項は「1レッスン1ターゲット」とポイントが絞られており，基礎・基本的事項が確実におさえられる。</w:t>
            </w:r>
          </w:p>
          <w:p w:rsidR="00000000" w:rsidDel="00000000" w:rsidP="00000000" w:rsidRDefault="00000000" w:rsidRPr="00000000" w14:paraId="00000010">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○レッスンの扉ページでは，そのレッスンに関連した写真とレッスンテーマについての活動で，本文への導入を図ることができる。</w:t>
            </w:r>
          </w:p>
          <w:p w:rsidR="00000000" w:rsidDel="00000000" w:rsidP="00000000" w:rsidRDefault="00000000" w:rsidRPr="00000000" w14:paraId="00000011">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○Lesson 4とLesson 7の特設資料ページ「Let’s Listen」では，</w:t>
            </w:r>
            <w:r w:rsidDel="00000000" w:rsidR="00000000" w:rsidRPr="00000000">
              <w:rPr>
                <w:rFonts w:ascii="MS Mincho" w:cs="MS Mincho" w:eastAsia="MS Mincho" w:hAnsi="MS Mincho"/>
                <w:sz w:val="20"/>
                <w:szCs w:val="20"/>
                <w:rtl w:val="0"/>
              </w:rPr>
              <w:t xml:space="preserve">本文に関連したトピックの</w:t>
            </w:r>
            <w:r w:rsidDel="00000000" w:rsidR="00000000" w:rsidRPr="00000000">
              <w:rPr>
                <w:rFonts w:ascii="MS Mincho" w:cs="MS Mincho" w:eastAsia="MS Mincho" w:hAnsi="MS Mincho"/>
                <w:sz w:val="20"/>
                <w:szCs w:val="20"/>
                <w:rtl w:val="0"/>
              </w:rPr>
              <w:t xml:space="preserve">リスニングの練習を行うことができる。</w:t>
            </w: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組織・配列・分量</w:t>
            </w:r>
          </w:p>
        </w:tc>
        <w:tc>
          <w:tcPr/>
          <w:p w:rsidR="00000000" w:rsidDel="00000000" w:rsidP="00000000" w:rsidRDefault="00000000" w:rsidRPr="00000000" w14:paraId="00000013">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＊内容の組織・配列は，学習指導を有効に進められるように考慮されているか。</w:t>
            </w:r>
          </w:p>
          <w:p w:rsidR="00000000" w:rsidDel="00000000" w:rsidP="00000000" w:rsidRDefault="00000000" w:rsidRPr="00000000" w14:paraId="00000014">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＊分量は学習指導を有効に進められるように考慮され，精選されているか。</w:t>
            </w:r>
          </w:p>
          <w:p w:rsidR="00000000" w:rsidDel="00000000" w:rsidP="00000000" w:rsidRDefault="00000000" w:rsidRPr="00000000" w14:paraId="00000015">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＊中高の接続に対する配慮がなされているか。</w:t>
            </w:r>
          </w:p>
          <w:p w:rsidR="00000000" w:rsidDel="00000000" w:rsidP="00000000" w:rsidRDefault="00000000" w:rsidRPr="00000000" w14:paraId="00000016">
            <w:pPr>
              <w:ind w:left="200" w:hanging="200"/>
              <w:rPr>
                <w:rFonts w:ascii="MS Mincho" w:cs="MS Mincho" w:eastAsia="MS Mincho" w:hAnsi="MS Mincho"/>
                <w:color w:val="000000"/>
                <w:sz w:val="20"/>
                <w:szCs w:val="20"/>
              </w:rPr>
            </w:pPr>
            <w:bookmarkStart w:colFirst="0" w:colLast="0" w:name="_gjdgxs" w:id="0"/>
            <w:bookmarkEnd w:id="0"/>
            <w:r w:rsidDel="00000000" w:rsidR="00000000" w:rsidRPr="00000000">
              <w:rPr>
                <w:rFonts w:ascii="MS Mincho" w:cs="MS Mincho" w:eastAsia="MS Mincho" w:hAnsi="MS Mincho"/>
                <w:color w:val="000000"/>
                <w:sz w:val="20"/>
                <w:szCs w:val="20"/>
                <w:rtl w:val="0"/>
              </w:rPr>
              <w:t xml:space="preserve">＊弾力的な取り扱いに対する配慮がなされているか。</w:t>
            </w:r>
          </w:p>
        </w:tc>
        <w:tc>
          <w:tcPr/>
          <w:p w:rsidR="00000000" w:rsidDel="00000000" w:rsidP="00000000" w:rsidRDefault="00000000" w:rsidRPr="00000000" w14:paraId="00000017">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○レッスン数は10，「1レッスン1ターゲット」で学習内容が厳選されおり，ひと月1課を目安に余裕をもって指導できるよう配慮されている。</w:t>
            </w:r>
          </w:p>
          <w:p w:rsidR="00000000" w:rsidDel="00000000" w:rsidP="00000000" w:rsidRDefault="00000000" w:rsidRPr="00000000" w14:paraId="00000018">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○全レッスン一貫してシンプルですっきりした構成であり，自ら学び・考え・自ら発信する能力を育てる多様な活動ができるように編集されている。教材バランス，全体的分量も適切である。</w:t>
            </w:r>
          </w:p>
        </w:tc>
      </w:tr>
      <w:tr>
        <w:trPr>
          <w:cantSplit w:val="0"/>
          <w:tblHeader w:val="0"/>
        </w:trPr>
        <w:tc>
          <w:tcPr/>
          <w:p w:rsidR="00000000" w:rsidDel="00000000" w:rsidP="00000000" w:rsidRDefault="00000000" w:rsidRPr="00000000" w14:paraId="00000019">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表記・表現及び指導に対する工夫や配慮</w:t>
            </w:r>
          </w:p>
        </w:tc>
        <w:tc>
          <w:tcPr/>
          <w:p w:rsidR="00000000" w:rsidDel="00000000" w:rsidP="00000000" w:rsidRDefault="00000000" w:rsidRPr="00000000" w14:paraId="0000001A">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＊学習意欲を高めるための配慮がなされているか。</w:t>
            </w:r>
          </w:p>
          <w:p w:rsidR="00000000" w:rsidDel="00000000" w:rsidP="00000000" w:rsidRDefault="00000000" w:rsidRPr="00000000" w14:paraId="0000001B">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＊用語・記号の取り上げ方や記述の仕方は適切か。</w:t>
            </w:r>
          </w:p>
          <w:p w:rsidR="00000000" w:rsidDel="00000000" w:rsidP="00000000" w:rsidRDefault="00000000" w:rsidRPr="00000000" w14:paraId="0000001C">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＊生徒の自学自習への配慮や工夫がなされているか。</w:t>
            </w:r>
          </w:p>
          <w:p w:rsidR="00000000" w:rsidDel="00000000" w:rsidP="00000000" w:rsidRDefault="00000000" w:rsidRPr="00000000" w14:paraId="0000001D">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＊指導書や周辺教材での工夫や配慮がなされているか。</w:t>
            </w:r>
          </w:p>
        </w:tc>
        <w:tc>
          <w:tcPr/>
          <w:p w:rsidR="00000000" w:rsidDel="00000000" w:rsidP="00000000" w:rsidRDefault="00000000" w:rsidRPr="00000000" w14:paraId="0000001E">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○全ページフルカラーであり，メリハリのきいた紙面構成と相まって学習意欲が高められるよう配慮されている。</w:t>
            </w:r>
          </w:p>
          <w:p w:rsidR="00000000" w:rsidDel="00000000" w:rsidP="00000000" w:rsidRDefault="00000000" w:rsidRPr="00000000" w14:paraId="0000001F">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○用語・記号は統一されており，記述の仕方も適切である。</w:t>
            </w:r>
          </w:p>
          <w:p w:rsidR="00000000" w:rsidDel="00000000" w:rsidP="00000000" w:rsidRDefault="00000000" w:rsidRPr="00000000" w14:paraId="00000020">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○教科書を支援する指導書や周辺教材などが充実しており，指導しやすい教科書である。</w:t>
            </w:r>
          </w:p>
        </w:tc>
      </w:tr>
      <w:tr>
        <w:trPr>
          <w:cantSplit w:val="0"/>
          <w:tblHeader w:val="0"/>
        </w:trPr>
        <w:tc>
          <w:tcPr/>
          <w:p w:rsidR="00000000" w:rsidDel="00000000" w:rsidP="00000000" w:rsidRDefault="00000000" w:rsidRPr="00000000" w14:paraId="00000021">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印刷・造本上の配慮</w:t>
            </w:r>
          </w:p>
        </w:tc>
        <w:tc>
          <w:tcPr/>
          <w:p w:rsidR="00000000" w:rsidDel="00000000" w:rsidP="00000000" w:rsidRDefault="00000000" w:rsidRPr="00000000" w14:paraId="00000022">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＊印刷の鮮明さ，活字の大きさ，行間，製本などは適切か。</w:t>
            </w:r>
          </w:p>
          <w:p w:rsidR="00000000" w:rsidDel="00000000" w:rsidP="00000000" w:rsidRDefault="00000000" w:rsidRPr="00000000" w14:paraId="00000023">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＊環境保全や生徒の多様な特性に配慮がなされているか。</w:t>
            </w:r>
          </w:p>
        </w:tc>
        <w:tc>
          <w:tcPr/>
          <w:p w:rsidR="00000000" w:rsidDel="00000000" w:rsidP="00000000" w:rsidRDefault="00000000" w:rsidRPr="00000000" w14:paraId="00000024">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○活字は鮮明で美しく，写真，イラストなども鮮明で効果的である。</w:t>
            </w:r>
          </w:p>
          <w:p w:rsidR="00000000" w:rsidDel="00000000" w:rsidP="00000000" w:rsidRDefault="00000000" w:rsidRPr="00000000" w14:paraId="00000025">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○製本は堅牢で，開きやすい様式である。</w:t>
            </w:r>
          </w:p>
          <w:p w:rsidR="00000000" w:rsidDel="00000000" w:rsidP="00000000" w:rsidRDefault="00000000" w:rsidRPr="00000000" w14:paraId="00000026">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○図やグラフの色使いなど，色覚特性への配慮を含むユニバーサルデザインとなっており，全ページにわたって配色を工夫するなど，だれもが見やすい紙面になっている。</w:t>
            </w:r>
          </w:p>
          <w:p w:rsidR="00000000" w:rsidDel="00000000" w:rsidP="00000000" w:rsidRDefault="00000000" w:rsidRPr="00000000" w14:paraId="00000027">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○本文の用紙には再生紙と植物油インキを使用し，地球環境や資源に及ぼす影響も考慮されている。</w:t>
            </w:r>
          </w:p>
        </w:tc>
      </w:tr>
      <w:tr>
        <w:trPr>
          <w:cantSplit w:val="0"/>
          <w:tblHeader w:val="0"/>
        </w:trPr>
        <w:tc>
          <w:tcPr/>
          <w:p w:rsidR="00000000" w:rsidDel="00000000" w:rsidP="00000000" w:rsidRDefault="00000000" w:rsidRPr="00000000" w14:paraId="00000028">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総合所見</w:t>
            </w:r>
          </w:p>
        </w:tc>
        <w:tc>
          <w:tcPr/>
          <w:p w:rsidR="00000000" w:rsidDel="00000000" w:rsidP="00000000" w:rsidRDefault="00000000" w:rsidRPr="00000000" w14:paraId="00000029">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＊上記観点から見た，全体的・総合的な当教科書の特徴</w:t>
            </w:r>
          </w:p>
        </w:tc>
        <w:tc>
          <w:tcPr/>
          <w:p w:rsidR="00000000" w:rsidDel="00000000" w:rsidP="00000000" w:rsidRDefault="00000000" w:rsidRPr="00000000" w14:paraId="0000002A">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○全体として学習者の能力向上に視点を据えた編集に徹しており，「わかる，楽しめる，広がる，深まる」など，英語教育のプロセスを大切にした教科書である。</w:t>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40" w:w="11907" w:orient="portrait"/>
      <w:pgMar w:bottom="851" w:top="1134"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S Gothic"/>
  <w:font w:name="MS PGothic"/>
  <w:font w:name="MS Mincho"/>
  <w:font w:name="HG丸ｺﾞｼｯｸM-PR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G丸ｺﾞｼｯｸM-PRO" w:cs="HG丸ｺﾞｼｯｸM-PRO" w:eastAsia="HG丸ｺﾞｼｯｸM-PRO" w:hAnsi="HG丸ｺﾞｼｯｸM-PRO"/>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85.0" w:type="dxa"/>
        <w:left w:w="85.0" w:type="dxa"/>
        <w:bottom w:w="85.0" w:type="dxa"/>
        <w:right w:w="8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