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D292" w14:textId="292982AA"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7320B2">
        <w:rPr>
          <w:rFonts w:ascii="ＭＳ Ｐゴシック" w:eastAsia="ＭＳ Ｐゴシック" w:hAnsi="ＭＳ Ｐゴシック" w:hint="eastAsia"/>
          <w:sz w:val="18"/>
          <w:szCs w:val="18"/>
          <w:bdr w:val="single" w:sz="4" w:space="0" w:color="auto"/>
        </w:rPr>
        <w:t>９</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73B171DE" w:rsidR="002C0F0A" w:rsidRPr="007B2E68" w:rsidRDefault="007B2E68"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sz w:val="20"/>
          <w:szCs w:val="20"/>
        </w:rPr>
        <w:t>数学</w:t>
      </w:r>
      <w:r w:rsidR="00D80313">
        <w:rPr>
          <w:rFonts w:ascii="ＭＳ Ｐゴシック" w:eastAsia="ＭＳ Ｐゴシック" w:hAnsi="ＭＳ Ｐゴシック" w:hint="eastAsia"/>
          <w:sz w:val="20"/>
          <w:szCs w:val="20"/>
        </w:rPr>
        <w:t>B</w:t>
      </w:r>
      <w:r w:rsidRPr="007B2E68">
        <w:rPr>
          <w:rFonts w:ascii="ＭＳ Ｐゴシック" w:eastAsia="ＭＳ Ｐゴシック" w:hAnsi="ＭＳ Ｐゴシック" w:hint="eastAsia"/>
          <w:sz w:val="20"/>
          <w:szCs w:val="20"/>
        </w:rPr>
        <w:t xml:space="preserve"> </w:t>
      </w:r>
      <w:r w:rsidR="007320B2">
        <w:rPr>
          <w:rFonts w:ascii="ＭＳ Ｐゴシック" w:eastAsia="ＭＳ Ｐゴシック" w:hAnsi="ＭＳ Ｐゴシック" w:hint="eastAsia"/>
          <w:sz w:val="20"/>
          <w:szCs w:val="20"/>
        </w:rPr>
        <w:t>The探究</w:t>
      </w:r>
      <w:r w:rsidR="00BC109E">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8C008C">
        <w:rPr>
          <w:rFonts w:ascii="ＭＳ Ｐゴシック" w:eastAsia="ＭＳ Ｐゴシック" w:hAnsi="ＭＳ Ｐゴシック" w:hint="eastAsia"/>
          <w:sz w:val="20"/>
          <w:szCs w:val="20"/>
        </w:rPr>
        <w:t>B</w:t>
      </w:r>
      <w:r w:rsidR="007320B2">
        <w:rPr>
          <w:rFonts w:ascii="ＭＳ Ｐゴシック" w:eastAsia="ＭＳ Ｐゴシック" w:hAnsi="ＭＳ Ｐゴシック" w:hint="eastAsia"/>
          <w:sz w:val="20"/>
          <w:szCs w:val="20"/>
        </w:rPr>
        <w:t xml:space="preserve"> 002-905</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BC109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BC109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65FF9733" w14:textId="31170A32" w:rsidR="001206FB" w:rsidRPr="008C008C" w:rsidRDefault="00CB5725" w:rsidP="00C1378B">
            <w:pPr>
              <w:ind w:left="210" w:hangingChars="100" w:hanging="210"/>
              <w:rPr>
                <w:rFonts w:ascii="ＭＳ 明朝" w:eastAsia="ＭＳ 明朝" w:hAnsi="ＭＳ 明朝" w:cs="Adobe Song Std L"/>
                <w:color w:val="000000" w:themeColor="text1"/>
                <w:szCs w:val="21"/>
              </w:rPr>
            </w:pPr>
            <w:r w:rsidRPr="008C008C">
              <w:rPr>
                <w:rFonts w:ascii="ＭＳ 明朝" w:eastAsia="ＭＳ 明朝" w:hAnsi="ＭＳ 明朝" w:cs="Adobe Song Std L"/>
                <w:color w:val="000000" w:themeColor="text1"/>
                <w:szCs w:val="21"/>
              </w:rPr>
              <w:t>●</w:t>
            </w:r>
            <w:r w:rsidR="008C008C" w:rsidRPr="008C008C">
              <w:rPr>
                <w:rStyle w:val="UDProL"/>
                <w:rFonts w:ascii="ＭＳ 明朝" w:eastAsia="ＭＳ 明朝" w:hAnsi="ＭＳ 明朝" w:hint="eastAsia"/>
                <w:szCs w:val="21"/>
              </w:rPr>
              <w:t>「１章　数列」和の公式は</w:t>
            </w:r>
            <w:r w:rsidR="008C008C" w:rsidRPr="008C008C">
              <w:rPr>
                <w:rStyle w:val="UDProL"/>
                <w:rFonts w:ascii="ＭＳ 明朝" w:eastAsia="ＭＳ 明朝" w:hAnsi="ＭＳ 明朝" w:hint="eastAsia"/>
                <w:i/>
                <w:szCs w:val="21"/>
              </w:rPr>
              <w:t>k</w:t>
            </w:r>
            <w:r w:rsidR="008C008C" w:rsidRPr="008C008C">
              <w:rPr>
                <w:rStyle w:val="UDProL"/>
                <w:rFonts w:ascii="ＭＳ 明朝" w:eastAsia="ＭＳ 明朝" w:hAnsi="ＭＳ 明朝"/>
                <w:i/>
                <w:szCs w:val="21"/>
                <w:vertAlign w:val="superscript"/>
              </w:rPr>
              <w:t xml:space="preserve"> </w:t>
            </w:r>
            <w:r w:rsidR="008C008C" w:rsidRPr="008C008C">
              <w:rPr>
                <w:rStyle w:val="UDProL"/>
                <w:rFonts w:ascii="ＭＳ 明朝" w:eastAsia="ＭＳ 明朝" w:hAnsi="ＭＳ 明朝" w:hint="eastAsia"/>
                <w:szCs w:val="21"/>
                <w:vertAlign w:val="superscript"/>
              </w:rPr>
              <w:t>3</w:t>
            </w:r>
            <w:r w:rsidR="008C008C" w:rsidRPr="008C008C">
              <w:rPr>
                <w:rStyle w:val="UDProL"/>
                <w:rFonts w:ascii="ＭＳ 明朝" w:eastAsia="ＭＳ 明朝" w:hAnsi="ＭＳ 明朝" w:hint="eastAsia"/>
                <w:szCs w:val="21"/>
              </w:rPr>
              <w:t>まで扱っている</w:t>
            </w:r>
            <w:r w:rsidR="005D4182" w:rsidRPr="00CB5725">
              <w:rPr>
                <w:rFonts w:ascii="ＭＳ 明朝" w:eastAsia="ＭＳ 明朝" w:hAnsi="ＭＳ 明朝" w:cs="Adobe Song Std L" w:hint="eastAsia"/>
                <w:color w:val="000000" w:themeColor="text1"/>
                <w:szCs w:val="21"/>
              </w:rPr>
              <w:t>（</w:t>
            </w:r>
            <w:r w:rsidR="008C008C" w:rsidRPr="008C008C">
              <w:rPr>
                <w:rStyle w:val="UDProL"/>
                <w:rFonts w:ascii="ＭＳ 明朝" w:eastAsia="ＭＳ 明朝" w:hAnsi="ＭＳ 明朝"/>
                <w:szCs w:val="21"/>
              </w:rPr>
              <w:t>p.</w:t>
            </w:r>
            <w:r w:rsidR="008C008C">
              <w:rPr>
                <w:rStyle w:val="UDProL"/>
                <w:rFonts w:ascii="ＭＳ 明朝" w:eastAsia="ＭＳ 明朝" w:hAnsi="ＭＳ 明朝"/>
                <w:szCs w:val="21"/>
              </w:rPr>
              <w:t>30</w:t>
            </w:r>
            <w:r w:rsidR="008C008C" w:rsidRPr="008C008C">
              <w:rPr>
                <w:rStyle w:val="UDProL"/>
                <w:rFonts w:ascii="ＭＳ 明朝" w:eastAsia="ＭＳ 明朝" w:hAnsi="ＭＳ 明朝" w:hint="eastAsia"/>
                <w:szCs w:val="21"/>
              </w:rPr>
              <w:t>）</w:t>
            </w:r>
          </w:p>
          <w:p w14:paraId="1F0EAE26" w14:textId="2FD130DC" w:rsidR="005B3198" w:rsidRPr="00C1378B" w:rsidRDefault="00CB5725"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271D49" w:rsidRPr="00271D49">
              <w:rPr>
                <w:rFonts w:ascii="ＭＳ 明朝" w:eastAsia="ＭＳ 明朝" w:hAnsi="ＭＳ 明朝" w:cs="Adobe Song Std L" w:hint="eastAsia"/>
                <w:color w:val="000000" w:themeColor="text1"/>
                <w:szCs w:val="21"/>
              </w:rPr>
              <w:t>「</w:t>
            </w:r>
            <w:r w:rsidR="00271D49">
              <w:rPr>
                <w:rFonts w:ascii="ＭＳ 明朝" w:eastAsia="ＭＳ 明朝" w:hAnsi="ＭＳ 明朝" w:cs="Adobe Song Std L" w:hint="eastAsia"/>
                <w:color w:val="000000" w:themeColor="text1"/>
                <w:szCs w:val="21"/>
              </w:rPr>
              <w:t>２</w:t>
            </w:r>
            <w:r w:rsidR="00271D49" w:rsidRPr="00271D49">
              <w:rPr>
                <w:rFonts w:ascii="ＭＳ 明朝" w:eastAsia="ＭＳ 明朝" w:hAnsi="ＭＳ 明朝" w:cs="Adobe Song Std L" w:hint="eastAsia"/>
                <w:color w:val="000000" w:themeColor="text1"/>
                <w:szCs w:val="21"/>
              </w:rPr>
              <w:t xml:space="preserve">章　</w:t>
            </w:r>
            <w:r w:rsidR="00010B3C">
              <w:rPr>
                <w:rFonts w:ascii="ＭＳ 明朝" w:eastAsia="ＭＳ 明朝" w:hAnsi="ＭＳ 明朝" w:cs="Adobe Song Std L" w:hint="eastAsia"/>
                <w:color w:val="000000" w:themeColor="text1"/>
                <w:szCs w:val="21"/>
              </w:rPr>
              <w:t>統計的な推測</w:t>
            </w:r>
            <w:r w:rsidR="00271D49" w:rsidRPr="00271D49">
              <w:rPr>
                <w:rFonts w:ascii="ＭＳ 明朝" w:eastAsia="ＭＳ 明朝" w:hAnsi="ＭＳ 明朝" w:cs="Adobe Song Std L" w:hint="eastAsia"/>
                <w:color w:val="000000" w:themeColor="text1"/>
                <w:szCs w:val="21"/>
              </w:rPr>
              <w:t>」</w:t>
            </w:r>
            <w:r w:rsidR="00010B3C">
              <w:rPr>
                <w:rFonts w:ascii="ＭＳ 明朝" w:eastAsia="ＭＳ 明朝" w:hAnsi="ＭＳ 明朝" w:cs="Adobe Song Std L" w:hint="eastAsia"/>
                <w:color w:val="000000" w:themeColor="text1"/>
                <w:szCs w:val="21"/>
              </w:rPr>
              <w:t>二項分布の</w:t>
            </w:r>
            <w:r w:rsidR="005D4182">
              <w:rPr>
                <w:rFonts w:ascii="ＭＳ 明朝" w:eastAsia="ＭＳ 明朝" w:hAnsi="ＭＳ 明朝" w:cs="Adobe Song Std L" w:hint="eastAsia"/>
                <w:color w:val="000000" w:themeColor="text1"/>
                <w:szCs w:val="21"/>
              </w:rPr>
              <w:t>確率や平均と分散では，的当てゲームやさいころを繰り返し投げる試行など生徒の身近な事例を扱い</w:t>
            </w:r>
            <w:r w:rsidR="00B33905">
              <w:rPr>
                <w:rFonts w:ascii="ＭＳ 明朝" w:eastAsia="ＭＳ 明朝" w:hAnsi="ＭＳ 明朝" w:cs="Adobe Song Std L" w:hint="eastAsia"/>
                <w:color w:val="000000" w:themeColor="text1"/>
                <w:szCs w:val="21"/>
              </w:rPr>
              <w:t>，</w:t>
            </w:r>
            <w:r w:rsidR="005D4182">
              <w:rPr>
                <w:rFonts w:ascii="ＭＳ 明朝" w:eastAsia="ＭＳ 明朝" w:hAnsi="ＭＳ 明朝" w:cs="Adobe Song Std L" w:hint="eastAsia"/>
                <w:color w:val="000000" w:themeColor="text1"/>
                <w:szCs w:val="21"/>
              </w:rPr>
              <w:t>確率変数の分布の様子や特徴が理解しやすいように工夫されている。</w:t>
            </w:r>
            <w:r w:rsidR="005D4182" w:rsidRPr="00271D49">
              <w:rPr>
                <w:rFonts w:ascii="ＭＳ 明朝" w:eastAsia="ＭＳ 明朝" w:hAnsi="ＭＳ 明朝" w:cs="Adobe Song Std L" w:hint="eastAsia"/>
                <w:color w:val="000000" w:themeColor="text1"/>
                <w:szCs w:val="21"/>
              </w:rPr>
              <w:t>（</w:t>
            </w:r>
            <w:r w:rsidR="005D4182" w:rsidRPr="00271D49">
              <w:rPr>
                <w:rFonts w:ascii="ＭＳ 明朝" w:eastAsia="ＭＳ 明朝" w:hAnsi="ＭＳ 明朝" w:cs="Adobe Song Std L"/>
                <w:color w:val="000000" w:themeColor="text1"/>
                <w:szCs w:val="21"/>
              </w:rPr>
              <w:t>p.</w:t>
            </w:r>
            <w:r w:rsidR="005D4182">
              <w:rPr>
                <w:rFonts w:ascii="ＭＳ 明朝" w:eastAsia="ＭＳ 明朝" w:hAnsi="ＭＳ 明朝" w:cs="Adobe Song Std L" w:hint="eastAsia"/>
                <w:color w:val="000000" w:themeColor="text1"/>
                <w:szCs w:val="21"/>
              </w:rPr>
              <w:t>77～80</w:t>
            </w:r>
            <w:r w:rsidR="005D4182" w:rsidRPr="00271D49">
              <w:rPr>
                <w:rFonts w:ascii="ＭＳ 明朝" w:eastAsia="ＭＳ 明朝" w:hAnsi="ＭＳ 明朝" w:cs="Adobe Song Std L"/>
                <w:color w:val="000000" w:themeColor="text1"/>
                <w:szCs w:val="21"/>
              </w:rPr>
              <w:t>）</w:t>
            </w:r>
          </w:p>
          <w:p w14:paraId="3A758027" w14:textId="0F87EDCA" w:rsidR="005B3198" w:rsidRPr="00C1378B" w:rsidRDefault="007A45EF"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CB5725" w:rsidRPr="00CB5725">
              <w:rPr>
                <w:rFonts w:ascii="ＭＳ 明朝" w:eastAsia="ＭＳ 明朝" w:hAnsi="ＭＳ 明朝" w:cs="Adobe Song Std L" w:hint="eastAsia"/>
                <w:color w:val="000000" w:themeColor="text1"/>
                <w:szCs w:val="21"/>
              </w:rPr>
              <w:t xml:space="preserve">「３章　</w:t>
            </w:r>
            <w:r w:rsidR="005D4182">
              <w:rPr>
                <w:rFonts w:ascii="ＭＳ 明朝" w:eastAsia="ＭＳ 明朝" w:hAnsi="ＭＳ 明朝" w:cs="Adobe Song Std L" w:hint="eastAsia"/>
                <w:color w:val="000000" w:themeColor="text1"/>
                <w:szCs w:val="21"/>
              </w:rPr>
              <w:t>数学と社会生活</w:t>
            </w:r>
            <w:r w:rsidR="00CB5725" w:rsidRPr="00CB5725">
              <w:rPr>
                <w:rFonts w:ascii="ＭＳ 明朝" w:eastAsia="ＭＳ 明朝" w:hAnsi="ＭＳ 明朝" w:cs="Adobe Song Std L" w:hint="eastAsia"/>
                <w:color w:val="000000" w:themeColor="text1"/>
                <w:szCs w:val="21"/>
              </w:rPr>
              <w:t>」</w:t>
            </w:r>
            <w:r w:rsidR="005D4182">
              <w:rPr>
                <w:rFonts w:ascii="ＭＳ 明朝" w:eastAsia="ＭＳ 明朝" w:hAnsi="ＭＳ 明朝" w:cs="Adobe Song Std L" w:hint="eastAsia"/>
                <w:color w:val="000000" w:themeColor="text1"/>
                <w:szCs w:val="21"/>
              </w:rPr>
              <w:t>数学的モデルを用いた予測</w:t>
            </w:r>
            <w:r w:rsidR="00CB5725" w:rsidRPr="00CB5725">
              <w:rPr>
                <w:rFonts w:ascii="ＭＳ 明朝" w:eastAsia="ＭＳ 明朝" w:hAnsi="ＭＳ 明朝" w:cs="Adobe Song Std L" w:hint="eastAsia"/>
                <w:color w:val="000000" w:themeColor="text1"/>
                <w:szCs w:val="21"/>
              </w:rPr>
              <w:t>では，</w:t>
            </w:r>
            <w:r w:rsidR="005D4182">
              <w:rPr>
                <w:rFonts w:ascii="ＭＳ 明朝" w:eastAsia="ＭＳ 明朝" w:hAnsi="ＭＳ 明朝" w:cs="Adobe Song Std L" w:hint="eastAsia"/>
                <w:color w:val="000000" w:themeColor="text1"/>
                <w:szCs w:val="21"/>
              </w:rPr>
              <w:t>新型コロナウイルス感染症や遊園地でポップコーンを買う人の行列といった</w:t>
            </w:r>
            <w:r w:rsidR="00473384">
              <w:rPr>
                <w:rFonts w:ascii="ＭＳ 明朝" w:eastAsia="ＭＳ 明朝" w:hAnsi="ＭＳ 明朝" w:cs="Adobe Song Std L" w:hint="eastAsia"/>
                <w:color w:val="000000" w:themeColor="text1"/>
                <w:szCs w:val="21"/>
              </w:rPr>
              <w:t>具体的な</w:t>
            </w:r>
            <w:r w:rsidR="005D4182">
              <w:rPr>
                <w:rFonts w:ascii="ＭＳ 明朝" w:eastAsia="ＭＳ 明朝" w:hAnsi="ＭＳ 明朝" w:cs="Adobe Song Std L" w:hint="eastAsia"/>
                <w:color w:val="000000" w:themeColor="text1"/>
                <w:szCs w:val="21"/>
              </w:rPr>
              <w:t>社会生活における問題を</w:t>
            </w:r>
            <w:r w:rsidR="00473384">
              <w:rPr>
                <w:rFonts w:ascii="ＭＳ 明朝" w:eastAsia="ＭＳ 明朝" w:hAnsi="ＭＳ 明朝" w:cs="Adobe Song Std L" w:hint="eastAsia"/>
                <w:color w:val="000000" w:themeColor="text1"/>
                <w:szCs w:val="21"/>
              </w:rPr>
              <w:t>題材として</w:t>
            </w:r>
            <w:r w:rsidR="005D4182">
              <w:rPr>
                <w:rFonts w:ascii="ＭＳ 明朝" w:eastAsia="ＭＳ 明朝" w:hAnsi="ＭＳ 明朝" w:cs="Adobe Song Std L" w:hint="eastAsia"/>
                <w:color w:val="000000" w:themeColor="text1"/>
                <w:szCs w:val="21"/>
              </w:rPr>
              <w:t>取り上げ，数学を活用して解決することの意義を分かりやすく解説している</w:t>
            </w:r>
            <w:r w:rsidR="00CB5725" w:rsidRPr="00CB5725">
              <w:rPr>
                <w:rFonts w:ascii="ＭＳ 明朝" w:eastAsia="ＭＳ 明朝" w:hAnsi="ＭＳ 明朝" w:cs="Adobe Song Std L" w:hint="eastAsia"/>
                <w:color w:val="000000" w:themeColor="text1"/>
                <w:szCs w:val="21"/>
              </w:rPr>
              <w:t>。（</w:t>
            </w:r>
            <w:r>
              <w:rPr>
                <w:rFonts w:ascii="ＭＳ 明朝" w:eastAsia="ＭＳ 明朝" w:hAnsi="ＭＳ 明朝" w:cs="Adobe Song Std L"/>
                <w:color w:val="000000" w:themeColor="text1"/>
                <w:szCs w:val="21"/>
              </w:rPr>
              <w:t>p.1</w:t>
            </w:r>
            <w:r w:rsidR="005D4182">
              <w:rPr>
                <w:rFonts w:ascii="ＭＳ 明朝" w:eastAsia="ＭＳ 明朝" w:hAnsi="ＭＳ 明朝" w:cs="Adobe Song Std L" w:hint="eastAsia"/>
                <w:color w:val="000000" w:themeColor="text1"/>
                <w:szCs w:val="21"/>
              </w:rPr>
              <w:t>14～117</w:t>
            </w:r>
            <w:r w:rsidR="00CB5725" w:rsidRPr="00CB5725">
              <w:rPr>
                <w:rFonts w:ascii="ＭＳ 明朝" w:eastAsia="ＭＳ 明朝" w:hAnsi="ＭＳ 明朝" w:cs="Adobe Song Std L"/>
                <w:color w:val="000000" w:themeColor="text1"/>
                <w:szCs w:val="21"/>
              </w:rPr>
              <w:t>）</w:t>
            </w:r>
          </w:p>
          <w:p w14:paraId="25E720C2" w14:textId="13BE4179" w:rsidR="005B3198" w:rsidRPr="005D4182" w:rsidRDefault="005B3198" w:rsidP="005D4182">
            <w:pPr>
              <w:ind w:left="210" w:hangingChars="100" w:hanging="210"/>
              <w:rPr>
                <w:rFonts w:ascii="ＭＳ 明朝" w:eastAsia="ＭＳ 明朝" w:hAnsi="ＭＳ 明朝" w:cs="Adobe Song Std L"/>
                <w:color w:val="000000" w:themeColor="text1"/>
                <w:szCs w:val="21"/>
              </w:rPr>
            </w:pPr>
            <w:r w:rsidRPr="005D4182">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2C0F0A" w14:paraId="02D08B93" w14:textId="72477F84" w:rsidTr="00BC109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0E065171"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●章のはじめに既習事項を活用しながら章の学習のきっかけとなる探究活動ができるコーナーがあり，関連した</w:t>
            </w:r>
            <w:r w:rsidR="00E6483A">
              <w:rPr>
                <w:rFonts w:ascii="ＭＳ 明朝" w:eastAsia="ＭＳ 明朝" w:hAnsi="ＭＳ 明朝" w:cs="Adobe Song Std L" w:hint="eastAsia"/>
                <w:color w:val="000000" w:themeColor="text1"/>
                <w:szCs w:val="21"/>
              </w:rPr>
              <w:t>既習</w:t>
            </w:r>
            <w:r w:rsidRPr="00C1378B">
              <w:rPr>
                <w:rFonts w:ascii="ＭＳ 明朝" w:eastAsia="ＭＳ 明朝" w:hAnsi="ＭＳ 明朝" w:cs="Adobe Song Std L"/>
                <w:color w:val="000000" w:themeColor="text1"/>
                <w:szCs w:val="21"/>
              </w:rPr>
              <w:t>の内容を振り返りつつ新たな課題に対して興味や関心を高めて取り組むことができように工夫がされている。</w:t>
            </w:r>
          </w:p>
          <w:p w14:paraId="2939D95D" w14:textId="4B2790D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w:t>
            </w:r>
            <w:r w:rsidR="001206FB" w:rsidRPr="00C1378B">
              <w:rPr>
                <w:rFonts w:ascii="ＭＳ 明朝" w:eastAsia="ＭＳ 明朝" w:hAnsi="ＭＳ 明朝" w:cs="Adobe Song Std L"/>
                <w:color w:val="000000" w:themeColor="text1"/>
                <w:szCs w:val="21"/>
              </w:rPr>
              <w:t>数学I</w:t>
            </w:r>
            <w:r w:rsidR="001206FB">
              <w:rPr>
                <w:rFonts w:ascii="ＭＳ 明朝" w:eastAsia="ＭＳ 明朝" w:hAnsi="ＭＳ 明朝" w:cs="Adobe Song Std L" w:hint="eastAsia"/>
                <w:color w:val="000000" w:themeColor="text1"/>
                <w:szCs w:val="21"/>
              </w:rPr>
              <w:t>・</w:t>
            </w:r>
            <w:r w:rsidR="001206FB">
              <w:rPr>
                <w:rFonts w:ascii="ＭＳ 明朝" w:eastAsia="ＭＳ 明朝" w:hAnsi="ＭＳ 明朝" w:cs="Adobe Song Std L"/>
                <w:color w:val="000000" w:themeColor="text1"/>
                <w:szCs w:val="21"/>
              </w:rPr>
              <w:t>Ａ</w:t>
            </w:r>
            <w:r w:rsidRPr="00C1378B">
              <w:rPr>
                <w:rFonts w:ascii="ＭＳ 明朝" w:eastAsia="ＭＳ 明朝" w:hAnsi="ＭＳ 明朝" w:cs="Adobe Song Std L"/>
                <w:color w:val="000000" w:themeColor="text1"/>
                <w:szCs w:val="21"/>
              </w:rPr>
              <w:t>で学</w:t>
            </w:r>
            <w:r w:rsidR="001206FB">
              <w:rPr>
                <w:rFonts w:ascii="ＭＳ 明朝" w:eastAsia="ＭＳ 明朝" w:hAnsi="ＭＳ 明朝" w:cs="Adobe Song Std L"/>
                <w:color w:val="000000" w:themeColor="text1"/>
                <w:szCs w:val="21"/>
              </w:rPr>
              <w:t>んだ基本事項」として，</w:t>
            </w:r>
            <w:r w:rsidRPr="00B33905">
              <w:rPr>
                <w:rFonts w:ascii="ＭＳ 明朝" w:eastAsia="ＭＳ 明朝" w:hAnsi="ＭＳ 明朝" w:cs="Adobe Song Std L"/>
                <w:color w:val="000000" w:themeColor="text1"/>
                <w:szCs w:val="21"/>
              </w:rPr>
              <w:t>数学</w:t>
            </w:r>
            <w:r w:rsidR="00B33905" w:rsidRPr="00B33905">
              <w:rPr>
                <w:rFonts w:ascii="ＭＳ 明朝" w:eastAsia="ＭＳ 明朝" w:hAnsi="ＭＳ 明朝" w:cs="Adobe Song Std L" w:hint="eastAsia"/>
                <w:color w:val="000000" w:themeColor="text1"/>
                <w:szCs w:val="21"/>
              </w:rPr>
              <w:t>Ｂ</w:t>
            </w:r>
            <w:r w:rsidRPr="00C1378B">
              <w:rPr>
                <w:rFonts w:ascii="ＭＳ 明朝" w:eastAsia="ＭＳ 明朝" w:hAnsi="ＭＳ 明朝" w:cs="Adobe Song Std L"/>
                <w:color w:val="000000" w:themeColor="text1"/>
                <w:szCs w:val="21"/>
              </w:rPr>
              <w:t>に関連する</w:t>
            </w:r>
            <w:r w:rsidR="001206FB">
              <w:rPr>
                <w:rFonts w:ascii="ＭＳ 明朝" w:eastAsia="ＭＳ 明朝" w:hAnsi="ＭＳ 明朝" w:cs="Adobe Song Std L" w:hint="eastAsia"/>
                <w:color w:val="000000" w:themeColor="text1"/>
                <w:szCs w:val="21"/>
              </w:rPr>
              <w:t>数学Ⅰ，数学Ａ</w:t>
            </w:r>
            <w:r w:rsidRPr="00C1378B">
              <w:rPr>
                <w:rFonts w:ascii="ＭＳ 明朝" w:eastAsia="ＭＳ 明朝" w:hAnsi="ＭＳ 明朝" w:cs="Adobe Song Std L"/>
                <w:color w:val="000000" w:themeColor="text1"/>
                <w:szCs w:val="21"/>
              </w:rPr>
              <w:t>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7320B2" w14:paraId="0190FB83" w14:textId="134720AF" w:rsidTr="00BC109E">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4EDE6EF1" w:rsidR="005B3198" w:rsidRPr="00C1378B" w:rsidRDefault="005B3198" w:rsidP="007320B2">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7320B2">
              <w:rPr>
                <w:rFonts w:ascii="ＭＳ 明朝" w:eastAsia="ＭＳ 明朝" w:hAnsi="ＭＳ 明朝" w:cs="Adobe Song Std L" w:hint="eastAsia"/>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BC109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85C8" w14:textId="77777777" w:rsidR="008354A9" w:rsidRDefault="008354A9" w:rsidP="00E91010">
      <w:r>
        <w:separator/>
      </w:r>
    </w:p>
  </w:endnote>
  <w:endnote w:type="continuationSeparator" w:id="0">
    <w:p w14:paraId="01A12C3B" w14:textId="77777777" w:rsidR="008354A9" w:rsidRDefault="008354A9"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ShinGoPro-Light">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ＭＳ ゴシック"/>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0194" w14:textId="77777777" w:rsidR="008354A9" w:rsidRDefault="008354A9" w:rsidP="00E91010">
      <w:r>
        <w:separator/>
      </w:r>
    </w:p>
  </w:footnote>
  <w:footnote w:type="continuationSeparator" w:id="0">
    <w:p w14:paraId="2C9F78DE" w14:textId="77777777" w:rsidR="008354A9" w:rsidRDefault="008354A9"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10B3C"/>
    <w:rsid w:val="00052010"/>
    <w:rsid w:val="000F1428"/>
    <w:rsid w:val="00106A58"/>
    <w:rsid w:val="00110BE9"/>
    <w:rsid w:val="001206FB"/>
    <w:rsid w:val="001B34DA"/>
    <w:rsid w:val="00271D49"/>
    <w:rsid w:val="0029523B"/>
    <w:rsid w:val="002C0F0A"/>
    <w:rsid w:val="003D33EB"/>
    <w:rsid w:val="004520AC"/>
    <w:rsid w:val="00473384"/>
    <w:rsid w:val="004847D8"/>
    <w:rsid w:val="005B3198"/>
    <w:rsid w:val="005D4182"/>
    <w:rsid w:val="006275DE"/>
    <w:rsid w:val="007320B2"/>
    <w:rsid w:val="00792A68"/>
    <w:rsid w:val="00796385"/>
    <w:rsid w:val="007A45EF"/>
    <w:rsid w:val="007B2E68"/>
    <w:rsid w:val="007B430B"/>
    <w:rsid w:val="008354A9"/>
    <w:rsid w:val="008C008C"/>
    <w:rsid w:val="009B538E"/>
    <w:rsid w:val="00A20076"/>
    <w:rsid w:val="00A5537A"/>
    <w:rsid w:val="00AD2DE3"/>
    <w:rsid w:val="00B33905"/>
    <w:rsid w:val="00BC109E"/>
    <w:rsid w:val="00C1378B"/>
    <w:rsid w:val="00CB5725"/>
    <w:rsid w:val="00D0453D"/>
    <w:rsid w:val="00D80313"/>
    <w:rsid w:val="00DA0F64"/>
    <w:rsid w:val="00E3449D"/>
    <w:rsid w:val="00E6483A"/>
    <w:rsid w:val="00E91010"/>
    <w:rsid w:val="00FC02B1"/>
    <w:rsid w:val="00FC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CFD478DA-0EB9-4C02-A316-67672428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 w:type="character" w:customStyle="1" w:styleId="UDProL">
    <w:name w:val="UD新ゴPro L"/>
    <w:uiPriority w:val="99"/>
    <w:rsid w:val="008C008C"/>
    <w:rPr>
      <w:rFonts w:ascii="UDShinGoPro-Light" w:eastAsia="UDShinGoPro-Light" w:cs="UDShinGoPro-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雅貴 金子</cp:lastModifiedBy>
  <cp:revision>2</cp:revision>
  <dcterms:created xsi:type="dcterms:W3CDTF">2022-03-18T10:04:00Z</dcterms:created>
  <dcterms:modified xsi:type="dcterms:W3CDTF">2026-02-27T07:09:00Z</dcterms:modified>
</cp:coreProperties>
</file>