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0B3001FC"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7015E5">
        <w:rPr>
          <w:rFonts w:ascii="ＭＳ Ｐゴシック" w:eastAsia="ＭＳ Ｐゴシック" w:hAnsi="ＭＳ Ｐゴシック" w:hint="eastAsia"/>
          <w:sz w:val="18"/>
          <w:szCs w:val="18"/>
          <w:bdr w:val="single" w:sz="4" w:space="0" w:color="auto"/>
        </w:rPr>
        <w:t>9</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ED43045" w:rsidR="002C0F0A" w:rsidRPr="007B2E68" w:rsidRDefault="007015E5"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23341B">
        <w:rPr>
          <w:rFonts w:ascii="ＭＳ Ｐゴシック" w:eastAsia="ＭＳ Ｐゴシック" w:hAnsi="ＭＳ Ｐゴシック" w:hint="eastAsia"/>
          <w:sz w:val="20"/>
          <w:szCs w:val="20"/>
        </w:rPr>
        <w:t>Ⅱ</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23341B">
        <w:rPr>
          <w:rFonts w:ascii="ＭＳ Ｐゴシック" w:eastAsia="ＭＳ Ｐゴシック" w:hAnsi="ＭＳ Ｐゴシック" w:hint="eastAsia"/>
          <w:sz w:val="20"/>
          <w:szCs w:val="20"/>
        </w:rPr>
        <w:t>Ⅱ</w:t>
      </w:r>
      <w:r>
        <w:rPr>
          <w:rFonts w:ascii="ＭＳ Ｐゴシック" w:eastAsia="ＭＳ Ｐゴシック" w:hAnsi="ＭＳ Ｐゴシック" w:hint="eastAsia"/>
          <w:sz w:val="20"/>
          <w:szCs w:val="20"/>
        </w:rPr>
        <w:t>002-904</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4057E224" w14:textId="13E80B4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23341B">
              <w:rPr>
                <w:rFonts w:ascii="ＭＳ 明朝" w:eastAsia="ＭＳ 明朝" w:hAnsi="ＭＳ 明朝" w:cs="Adobe Song Std L" w:hint="eastAsia"/>
                <w:color w:val="000000" w:themeColor="text1"/>
                <w:szCs w:val="21"/>
              </w:rPr>
              <w:t>「方程式・式と証明</w:t>
            </w:r>
            <w:r w:rsidR="00C67929">
              <w:rPr>
                <w:rFonts w:ascii="ＭＳ 明朝" w:eastAsia="ＭＳ 明朝" w:hAnsi="ＭＳ 明朝" w:cs="Adobe Song Std L" w:hint="eastAsia"/>
                <w:color w:val="000000" w:themeColor="text1"/>
                <w:szCs w:val="21"/>
              </w:rPr>
              <w:t>」で</w:t>
            </w:r>
            <w:r w:rsidR="0023341B">
              <w:rPr>
                <w:rFonts w:ascii="ＭＳ 明朝" w:eastAsia="ＭＳ 明朝" w:hAnsi="ＭＳ 明朝" w:cs="Adobe Song Std L" w:hint="eastAsia"/>
                <w:color w:val="000000" w:themeColor="text1"/>
                <w:szCs w:val="21"/>
              </w:rPr>
              <w:t>は</w:t>
            </w:r>
            <w:r w:rsidR="00C67929">
              <w:rPr>
                <w:rFonts w:ascii="ＭＳ 明朝" w:eastAsia="ＭＳ 明朝" w:hAnsi="ＭＳ 明朝" w:cs="Adobe Song Std L" w:hint="eastAsia"/>
                <w:color w:val="000000" w:themeColor="text1"/>
                <w:szCs w:val="21"/>
              </w:rPr>
              <w:t>，</w:t>
            </w:r>
            <w:r w:rsidR="0023341B">
              <w:rPr>
                <w:rFonts w:ascii="ＭＳ 明朝" w:eastAsia="ＭＳ 明朝" w:hAnsi="ＭＳ 明朝" w:cs="Adobe Song Std L" w:hint="eastAsia"/>
                <w:color w:val="000000" w:themeColor="text1"/>
                <w:szCs w:val="21"/>
              </w:rPr>
              <w:t>複素数で，まず</w:t>
            </w:r>
            <w:r w:rsidR="00F33D1C">
              <w:rPr>
                <w:rFonts w:ascii="ＭＳ 明朝" w:eastAsia="ＭＳ 明朝" w:hAnsi="ＭＳ 明朝" w:cs="Adobe Song Std L" w:hint="eastAsia"/>
                <w:color w:val="000000" w:themeColor="text1"/>
                <w:szCs w:val="21"/>
              </w:rPr>
              <w:t>虚数単位を導入してから負の数の平方根が扱われ，具体例を通して虚数単位の扱い方に慣れるように配慮されている</w:t>
            </w:r>
            <w:r w:rsidR="00C67929">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w:t>
            </w:r>
            <w:r w:rsidR="00F33D1C">
              <w:rPr>
                <w:rFonts w:ascii="ＭＳ 明朝" w:eastAsia="ＭＳ 明朝" w:hAnsi="ＭＳ 明朝" w:cs="Adobe Song Std L"/>
                <w:color w:val="000000" w:themeColor="text1"/>
                <w:szCs w:val="21"/>
              </w:rPr>
              <w:t>18-19</w:t>
            </w:r>
            <w:r w:rsidRPr="00263AA0">
              <w:rPr>
                <w:rFonts w:ascii="ＭＳ 明朝" w:eastAsia="ＭＳ 明朝" w:hAnsi="ＭＳ 明朝" w:cs="Adobe Song Std L"/>
                <w:color w:val="000000" w:themeColor="text1"/>
                <w:szCs w:val="21"/>
              </w:rPr>
              <w:t>）。</w:t>
            </w:r>
          </w:p>
          <w:p w14:paraId="36BB6F98" w14:textId="64C18ECD" w:rsidR="00C67929" w:rsidRPr="00263AA0" w:rsidRDefault="00C67929" w:rsidP="00C67929">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w:t>
            </w:r>
            <w:r w:rsidR="0023341B">
              <w:rPr>
                <w:rFonts w:ascii="ＭＳ 明朝" w:eastAsia="ＭＳ 明朝" w:hAnsi="ＭＳ 明朝" w:cs="Adobe Song Std L" w:hint="eastAsia"/>
                <w:color w:val="000000" w:themeColor="text1"/>
                <w:szCs w:val="21"/>
              </w:rPr>
              <w:t>図形と方程式</w:t>
            </w:r>
            <w:r>
              <w:rPr>
                <w:rFonts w:ascii="ＭＳ 明朝" w:eastAsia="ＭＳ 明朝" w:hAnsi="ＭＳ 明朝" w:cs="Adobe Song Std L" w:hint="eastAsia"/>
                <w:color w:val="000000" w:themeColor="text1"/>
                <w:szCs w:val="21"/>
              </w:rPr>
              <w:t>」では，</w:t>
            </w:r>
            <w:r w:rsidR="00F33D1C">
              <w:rPr>
                <w:rFonts w:ascii="ＭＳ 明朝" w:eastAsia="ＭＳ 明朝" w:hAnsi="ＭＳ 明朝" w:cs="Adobe Song Std L" w:hint="eastAsia"/>
                <w:color w:val="000000" w:themeColor="text1"/>
                <w:szCs w:val="21"/>
              </w:rPr>
              <w:t>中線定理</w:t>
            </w:r>
            <w:r w:rsidR="0021556E">
              <w:rPr>
                <w:rFonts w:ascii="ＭＳ 明朝" w:eastAsia="ＭＳ 明朝" w:hAnsi="ＭＳ 明朝" w:cs="Adobe Song Std L" w:hint="eastAsia"/>
                <w:color w:val="000000" w:themeColor="text1"/>
                <w:szCs w:val="21"/>
              </w:rPr>
              <w:t>の証明で，座標のとり方を工夫することで証明がより分かりやすいものになっていくことを理解できるように編集されている</w:t>
            </w:r>
            <w:r w:rsidRPr="00263AA0">
              <w:rPr>
                <w:rFonts w:ascii="ＭＳ 明朝" w:eastAsia="ＭＳ 明朝" w:hAnsi="ＭＳ 明朝" w:cs="Adobe Song Std L"/>
                <w:color w:val="000000" w:themeColor="text1"/>
                <w:szCs w:val="21"/>
              </w:rPr>
              <w:t>（p.</w:t>
            </w:r>
            <w:r w:rsidR="0021556E">
              <w:rPr>
                <w:rFonts w:ascii="ＭＳ 明朝" w:eastAsia="ＭＳ 明朝" w:hAnsi="ＭＳ 明朝" w:cs="Adobe Song Std L"/>
                <w:color w:val="000000" w:themeColor="text1"/>
                <w:szCs w:val="21"/>
              </w:rPr>
              <w:t>59</w:t>
            </w:r>
            <w:r w:rsidRPr="00263AA0">
              <w:rPr>
                <w:rFonts w:ascii="ＭＳ 明朝" w:eastAsia="ＭＳ 明朝" w:hAnsi="ＭＳ 明朝" w:cs="Adobe Song Std L"/>
                <w:color w:val="000000" w:themeColor="text1"/>
                <w:szCs w:val="21"/>
              </w:rPr>
              <w:t>）</w:t>
            </w:r>
            <w:r w:rsidR="00814718">
              <w:rPr>
                <w:rFonts w:ascii="ＭＳ 明朝" w:eastAsia="ＭＳ 明朝" w:hAnsi="ＭＳ 明朝" w:cs="Adobe Song Std L" w:hint="eastAsia"/>
                <w:color w:val="000000" w:themeColor="text1"/>
                <w:szCs w:val="21"/>
              </w:rPr>
              <w:t>。</w:t>
            </w:r>
          </w:p>
          <w:p w14:paraId="068B656F" w14:textId="44F1A5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w:t>
            </w:r>
            <w:r w:rsidR="0023341B">
              <w:rPr>
                <w:rFonts w:ascii="ＭＳ 明朝" w:eastAsia="ＭＳ 明朝" w:hAnsi="ＭＳ 明朝" w:cs="Adobe Song Std L" w:hint="eastAsia"/>
                <w:color w:val="000000" w:themeColor="text1"/>
                <w:szCs w:val="21"/>
              </w:rPr>
              <w:t>三角関数</w:t>
            </w:r>
            <w:r w:rsidR="00C67929">
              <w:rPr>
                <w:rFonts w:ascii="ＭＳ 明朝" w:eastAsia="ＭＳ 明朝" w:hAnsi="ＭＳ 明朝" w:cs="Adobe Song Std L" w:hint="eastAsia"/>
                <w:color w:val="000000" w:themeColor="text1"/>
                <w:szCs w:val="21"/>
              </w:rPr>
              <w:t>」では，</w:t>
            </w:r>
            <w:r w:rsidR="00C67929">
              <w:rPr>
                <w:rFonts w:ascii="ＭＳ 明朝" w:eastAsia="ＭＳ 明朝" w:hAnsi="ＭＳ 明朝" w:cs="Adobe Song Std L"/>
                <w:color w:val="000000" w:themeColor="text1"/>
                <w:szCs w:val="21"/>
              </w:rPr>
              <w:t>三角</w:t>
            </w:r>
            <w:r w:rsidR="0021556E">
              <w:rPr>
                <w:rFonts w:ascii="ＭＳ 明朝" w:eastAsia="ＭＳ 明朝" w:hAnsi="ＭＳ 明朝" w:cs="Adobe Song Std L" w:hint="eastAsia"/>
                <w:color w:val="000000" w:themeColor="text1"/>
                <w:szCs w:val="21"/>
              </w:rPr>
              <w:t>関数の加法定理で，具体的な事例が取り上げられ，加法定理の構造が理解しやすくなるよう，</w:t>
            </w:r>
            <w:r w:rsidR="00344030">
              <w:rPr>
                <w:rFonts w:ascii="ＭＳ 明朝" w:eastAsia="ＭＳ 明朝" w:hAnsi="ＭＳ 明朝" w:cs="Adobe Song Std L" w:hint="eastAsia"/>
                <w:color w:val="000000" w:themeColor="text1"/>
                <w:szCs w:val="21"/>
              </w:rPr>
              <w:t>丁寧に</w:t>
            </w:r>
            <w:r w:rsidR="0021556E">
              <w:rPr>
                <w:rFonts w:ascii="ＭＳ 明朝" w:eastAsia="ＭＳ 明朝" w:hAnsi="ＭＳ 明朝" w:cs="Adobe Song Std L" w:hint="eastAsia"/>
                <w:color w:val="000000" w:themeColor="text1"/>
                <w:szCs w:val="21"/>
              </w:rPr>
              <w:t>解説されている</w:t>
            </w:r>
            <w:r w:rsidR="00C67929">
              <w:rPr>
                <w:rFonts w:ascii="ＭＳ 明朝" w:eastAsia="ＭＳ 明朝" w:hAnsi="ＭＳ 明朝" w:cs="Adobe Song Std L"/>
                <w:color w:val="000000" w:themeColor="text1"/>
                <w:szCs w:val="21"/>
              </w:rPr>
              <w:t>（</w:t>
            </w:r>
            <w:r w:rsidRPr="00263AA0">
              <w:rPr>
                <w:rFonts w:ascii="ＭＳ 明朝" w:eastAsia="ＭＳ 明朝" w:hAnsi="ＭＳ 明朝" w:cs="Adobe Song Std L"/>
                <w:color w:val="000000" w:themeColor="text1"/>
                <w:szCs w:val="21"/>
              </w:rPr>
              <w:t>p.</w:t>
            </w:r>
            <w:r w:rsidR="00344030">
              <w:rPr>
                <w:rFonts w:ascii="ＭＳ 明朝" w:eastAsia="ＭＳ 明朝" w:hAnsi="ＭＳ 明朝" w:cs="Adobe Song Std L" w:hint="eastAsia"/>
                <w:color w:val="000000" w:themeColor="text1"/>
                <w:szCs w:val="21"/>
              </w:rPr>
              <w:t>110</w:t>
            </w:r>
            <w:r w:rsidRPr="00263AA0">
              <w:rPr>
                <w:rFonts w:ascii="ＭＳ 明朝" w:eastAsia="ＭＳ 明朝" w:hAnsi="ＭＳ 明朝" w:cs="Adobe Song Std L"/>
                <w:color w:val="000000" w:themeColor="text1"/>
                <w:szCs w:val="21"/>
              </w:rPr>
              <w:t>）。</w:t>
            </w:r>
          </w:p>
          <w:p w14:paraId="48D6E20D" w14:textId="5257759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23341B">
              <w:rPr>
                <w:rFonts w:ascii="ＭＳ 明朝" w:eastAsia="ＭＳ 明朝" w:hAnsi="ＭＳ 明朝" w:cs="Adobe Song Std L" w:hint="eastAsia"/>
                <w:color w:val="000000" w:themeColor="text1"/>
                <w:szCs w:val="21"/>
              </w:rPr>
              <w:t>指数関数と対数関数</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では，</w:t>
            </w:r>
            <w:r w:rsidR="0021556E">
              <w:rPr>
                <w:rFonts w:ascii="ＭＳ 明朝" w:eastAsia="ＭＳ 明朝" w:hAnsi="ＭＳ 明朝" w:cs="Adobe Song Std L" w:hint="eastAsia"/>
                <w:color w:val="000000" w:themeColor="text1"/>
                <w:szCs w:val="21"/>
              </w:rPr>
              <w:t>指数関数とそのグラフで，グラフの特徴を整理してから底や指数関数の用語を扱うことで，定義が理解しやすく</w:t>
            </w:r>
            <w:r w:rsidR="00F730DE">
              <w:rPr>
                <w:rFonts w:ascii="ＭＳ 明朝" w:eastAsia="ＭＳ 明朝" w:hAnsi="ＭＳ 明朝" w:cs="Adobe Song Std L" w:hint="eastAsia"/>
                <w:color w:val="000000" w:themeColor="text1"/>
                <w:szCs w:val="21"/>
              </w:rPr>
              <w:t>なるように編集されている</w:t>
            </w:r>
            <w:r w:rsidRPr="00263AA0">
              <w:rPr>
                <w:rFonts w:ascii="ＭＳ 明朝" w:eastAsia="ＭＳ 明朝" w:hAnsi="ＭＳ 明朝" w:cs="Adobe Song Std L"/>
                <w:color w:val="000000" w:themeColor="text1"/>
                <w:szCs w:val="21"/>
              </w:rPr>
              <w:t>（p.</w:t>
            </w:r>
            <w:r w:rsidR="0021556E">
              <w:rPr>
                <w:rFonts w:ascii="ＭＳ 明朝" w:eastAsia="ＭＳ 明朝" w:hAnsi="ＭＳ 明朝" w:cs="Adobe Song Std L"/>
                <w:color w:val="000000" w:themeColor="text1"/>
                <w:szCs w:val="21"/>
              </w:rPr>
              <w:t>132-134</w:t>
            </w:r>
            <w:r w:rsidRPr="00263AA0">
              <w:rPr>
                <w:rFonts w:ascii="ＭＳ 明朝" w:eastAsia="ＭＳ 明朝" w:hAnsi="ＭＳ 明朝" w:cs="Adobe Song Std L"/>
                <w:color w:val="000000" w:themeColor="text1"/>
                <w:szCs w:val="21"/>
              </w:rPr>
              <w:t>）</w:t>
            </w:r>
            <w:r w:rsidR="00814718">
              <w:rPr>
                <w:rFonts w:ascii="ＭＳ 明朝" w:eastAsia="ＭＳ 明朝" w:hAnsi="ＭＳ 明朝" w:cs="Adobe Song Std L" w:hint="eastAsia"/>
                <w:color w:val="000000" w:themeColor="text1"/>
                <w:szCs w:val="21"/>
              </w:rPr>
              <w:t>。</w:t>
            </w:r>
          </w:p>
          <w:p w14:paraId="17197FF1" w14:textId="6650CD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23341B">
              <w:rPr>
                <w:rFonts w:ascii="ＭＳ 明朝" w:eastAsia="ＭＳ 明朝" w:hAnsi="ＭＳ 明朝" w:cs="Adobe Song Std L" w:hint="eastAsia"/>
                <w:color w:val="000000" w:themeColor="text1"/>
                <w:szCs w:val="21"/>
              </w:rPr>
              <w:t>微分と積分</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w:t>
            </w:r>
            <w:r w:rsidRPr="00263AA0">
              <w:rPr>
                <w:rFonts w:ascii="ＭＳ 明朝" w:eastAsia="ＭＳ 明朝" w:hAnsi="ＭＳ 明朝" w:cs="Adobe Song Std L"/>
                <w:color w:val="000000" w:themeColor="text1"/>
                <w:szCs w:val="21"/>
              </w:rPr>
              <w:t>は，</w:t>
            </w:r>
            <w:r w:rsidR="0021556E">
              <w:rPr>
                <w:rFonts w:ascii="ＭＳ 明朝" w:eastAsia="ＭＳ 明朝" w:hAnsi="ＭＳ 明朝" w:cs="Adobe Song Std L" w:hint="eastAsia"/>
                <w:color w:val="000000" w:themeColor="text1"/>
                <w:szCs w:val="21"/>
              </w:rPr>
              <w:t>微分係数と接線</w:t>
            </w:r>
            <w:r w:rsidR="00F730DE">
              <w:rPr>
                <w:rFonts w:ascii="ＭＳ 明朝" w:eastAsia="ＭＳ 明朝" w:hAnsi="ＭＳ 明朝" w:cs="Adobe Song Std L" w:hint="eastAsia"/>
                <w:color w:val="000000" w:themeColor="text1"/>
                <w:szCs w:val="21"/>
              </w:rPr>
              <w:t>の傾きで，微分係数を求める際の流れを図式化しながら丁寧に例示し</w:t>
            </w:r>
            <w:r w:rsidR="0021556E">
              <w:rPr>
                <w:rFonts w:ascii="ＭＳ 明朝" w:eastAsia="ＭＳ 明朝" w:hAnsi="ＭＳ 明朝" w:cs="Adobe Song Std L" w:hint="eastAsia"/>
                <w:color w:val="000000" w:themeColor="text1"/>
                <w:szCs w:val="21"/>
              </w:rPr>
              <w:t>，微分係数が接線の傾きに等しくなることが直観的に理解できるように配慮されている</w:t>
            </w:r>
            <w:r w:rsidRPr="00263AA0">
              <w:rPr>
                <w:rFonts w:ascii="ＭＳ 明朝" w:eastAsia="ＭＳ 明朝" w:hAnsi="ＭＳ 明朝" w:cs="Adobe Song Std L"/>
                <w:color w:val="000000" w:themeColor="text1"/>
                <w:szCs w:val="21"/>
              </w:rPr>
              <w:t>（p.</w:t>
            </w:r>
            <w:r w:rsidR="0021556E">
              <w:rPr>
                <w:rFonts w:ascii="ＭＳ 明朝" w:eastAsia="ＭＳ 明朝" w:hAnsi="ＭＳ 明朝" w:cs="Adobe Song Std L"/>
                <w:color w:val="000000" w:themeColor="text1"/>
                <w:szCs w:val="21"/>
              </w:rPr>
              <w:t>163</w:t>
            </w:r>
            <w:r w:rsidRPr="00263AA0">
              <w:rPr>
                <w:rFonts w:ascii="ＭＳ 明朝" w:eastAsia="ＭＳ 明朝" w:hAnsi="ＭＳ 明朝" w:cs="Adobe Song Std L"/>
                <w:color w:val="000000" w:themeColor="text1"/>
                <w:szCs w:val="21"/>
              </w:rPr>
              <w:t>）。</w:t>
            </w:r>
          </w:p>
          <w:p w14:paraId="25E720C2" w14:textId="75BF847A" w:rsidR="00263AA0" w:rsidRPr="00263AA0" w:rsidRDefault="00263AA0" w:rsidP="0021556E">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●課題学習は，学習内容と実生活との関連が十分に図られており，生徒の興味・関心を高める数学的活動を重視した課題が扱われている（p.</w:t>
            </w:r>
            <w:r w:rsidR="0021556E">
              <w:rPr>
                <w:rFonts w:ascii="ＭＳ 明朝" w:eastAsia="ＭＳ 明朝" w:hAnsi="ＭＳ 明朝" w:cs="Adobe Song Std L"/>
                <w:color w:val="000000" w:themeColor="text1"/>
                <w:szCs w:val="21"/>
              </w:rPr>
              <w:t>44</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8</w:t>
            </w:r>
            <w:r w:rsidR="0021556E">
              <w:rPr>
                <w:rFonts w:ascii="ＭＳ 明朝" w:eastAsia="ＭＳ 明朝" w:hAnsi="ＭＳ 明朝" w:cs="Adobe Song Std L"/>
                <w:color w:val="000000" w:themeColor="text1"/>
                <w:szCs w:val="21"/>
              </w:rPr>
              <w:t>6</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w:t>
            </w:r>
            <w:r w:rsidR="0021556E">
              <w:rPr>
                <w:rFonts w:ascii="ＭＳ 明朝" w:eastAsia="ＭＳ 明朝" w:hAnsi="ＭＳ 明朝" w:cs="Adobe Song Std L"/>
                <w:color w:val="000000" w:themeColor="text1"/>
                <w:szCs w:val="21"/>
              </w:rPr>
              <w:t>17-118</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152，1</w:t>
            </w:r>
            <w:r w:rsidR="0021556E">
              <w:rPr>
                <w:rFonts w:ascii="ＭＳ 明朝" w:eastAsia="ＭＳ 明朝" w:hAnsi="ＭＳ 明朝" w:cs="Adobe Song Std L"/>
                <w:color w:val="000000" w:themeColor="text1"/>
                <w:szCs w:val="21"/>
              </w:rPr>
              <w:t>95</w:t>
            </w:r>
            <w:r w:rsidRPr="00263AA0">
              <w:rPr>
                <w:rFonts w:ascii="ＭＳ 明朝" w:eastAsia="ＭＳ 明朝" w:hAnsi="ＭＳ 明朝" w:cs="Adobe Song Std L"/>
                <w:color w:val="000000" w:themeColor="text1"/>
                <w:szCs w:val="21"/>
              </w:rPr>
              <w:t>）。</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36CC598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●やや高度な内容は「Challenge」とし，生徒や学校の実態に応じて臨機応変な取り扱いができるよう編集されている（p.</w:t>
            </w:r>
            <w:r w:rsidR="0021556E">
              <w:rPr>
                <w:rFonts w:ascii="ＭＳ 明朝" w:eastAsia="ＭＳ 明朝" w:hAnsi="ＭＳ 明朝" w:cs="Adobe Song Std L"/>
                <w:color w:val="000000" w:themeColor="text1"/>
                <w:szCs w:val="21"/>
              </w:rPr>
              <w:t>67</w:t>
            </w:r>
            <w:r w:rsidR="0021556E">
              <w:rPr>
                <w:rFonts w:ascii="ＭＳ 明朝" w:eastAsia="ＭＳ 明朝" w:hAnsi="ＭＳ 明朝" w:cs="Adobe Song Std L" w:hint="eastAsia"/>
                <w:color w:val="000000" w:themeColor="text1"/>
                <w:szCs w:val="21"/>
              </w:rPr>
              <w:t>，8</w:t>
            </w:r>
            <w:r w:rsidR="0021556E">
              <w:rPr>
                <w:rFonts w:ascii="ＭＳ 明朝" w:eastAsia="ＭＳ 明朝" w:hAnsi="ＭＳ 明朝" w:cs="Adobe Song Std L"/>
                <w:color w:val="000000" w:themeColor="text1"/>
                <w:szCs w:val="21"/>
              </w:rPr>
              <w:t>4</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w:t>
            </w:r>
            <w:r w:rsidR="0021556E">
              <w:rPr>
                <w:rFonts w:ascii="ＭＳ 明朝" w:eastAsia="ＭＳ 明朝" w:hAnsi="ＭＳ 明朝" w:cs="Adobe Song Std L"/>
                <w:color w:val="000000" w:themeColor="text1"/>
                <w:szCs w:val="21"/>
              </w:rPr>
              <w:t>08</w:t>
            </w:r>
            <w:r w:rsidRPr="00263AA0">
              <w:rPr>
                <w:rFonts w:ascii="ＭＳ 明朝" w:eastAsia="ＭＳ 明朝" w:hAnsi="ＭＳ 明朝" w:cs="Adobe Song Std L"/>
                <w:color w:val="000000" w:themeColor="text1"/>
                <w:szCs w:val="21"/>
              </w:rPr>
              <w:t>，</w:t>
            </w:r>
            <w:r w:rsidR="0021556E">
              <w:rPr>
                <w:rFonts w:ascii="ＭＳ 明朝" w:eastAsia="ＭＳ 明朝" w:hAnsi="ＭＳ 明朝" w:cs="Adobe Song Std L" w:hint="eastAsia"/>
                <w:color w:val="000000" w:themeColor="text1"/>
                <w:szCs w:val="21"/>
              </w:rPr>
              <w:t>1</w:t>
            </w:r>
            <w:r w:rsidR="0021556E">
              <w:rPr>
                <w:rFonts w:ascii="ＭＳ 明朝" w:eastAsia="ＭＳ 明朝" w:hAnsi="ＭＳ 明朝" w:cs="Adobe Song Std L"/>
                <w:color w:val="000000" w:themeColor="text1"/>
                <w:szCs w:val="21"/>
              </w:rPr>
              <w:t>80</w:t>
            </w:r>
            <w:r w:rsidRPr="00263AA0">
              <w:rPr>
                <w:rFonts w:ascii="ＭＳ 明朝" w:eastAsia="ＭＳ 明朝" w:hAnsi="ＭＳ 明朝" w:cs="Adobe Song Std L"/>
                <w:color w:val="000000" w:themeColor="text1"/>
                <w:szCs w:val="21"/>
              </w:rPr>
              <w:t>）。</w:t>
            </w:r>
          </w:p>
          <w:p w14:paraId="63FD2DBD" w14:textId="0F834D2F" w:rsidR="00263AA0" w:rsidRPr="00263AA0" w:rsidRDefault="00263AA0" w:rsidP="00B16F92">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w:t>
            </w:r>
            <w:r w:rsidR="00B16F92">
              <w:rPr>
                <w:rFonts w:ascii="ＭＳ 明朝" w:eastAsia="ＭＳ 明朝" w:hAnsi="ＭＳ 明朝" w:cs="Adobe Song Std L" w:hint="eastAsia"/>
                <w:color w:val="000000" w:themeColor="text1"/>
                <w:szCs w:val="21"/>
              </w:rPr>
              <w:t>既習</w:t>
            </w:r>
            <w:r w:rsidRPr="00263AA0">
              <w:rPr>
                <w:rFonts w:ascii="ＭＳ 明朝" w:eastAsia="ＭＳ 明朝" w:hAnsi="ＭＳ 明朝" w:cs="Adobe Song Std L"/>
                <w:color w:val="000000" w:themeColor="text1"/>
                <w:szCs w:val="21"/>
              </w:rPr>
              <w:t>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666B29C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w:t>
            </w:r>
            <w:r w:rsidR="007015E5">
              <w:rPr>
                <w:rFonts w:ascii="ＭＳ 明朝" w:eastAsia="ＭＳ 明朝" w:hAnsi="ＭＳ 明朝" w:cs="Adobe Song Std L" w:hint="eastAsia"/>
                <w:color w:val="000000" w:themeColor="text1"/>
                <w:szCs w:val="21"/>
              </w:rPr>
              <w:t>QR</w:t>
            </w:r>
            <w:r w:rsidRPr="00263AA0">
              <w:rPr>
                <w:rFonts w:ascii="ＭＳ 明朝" w:eastAsia="ＭＳ 明朝" w:hAnsi="ＭＳ 明朝" w:cs="Adobe Song Std L"/>
                <w:color w:val="000000" w:themeColor="text1"/>
                <w:szCs w:val="21"/>
              </w:rPr>
              <w:t>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90EE" w14:textId="77777777" w:rsidR="00644F62" w:rsidRDefault="00644F62" w:rsidP="00263AA0">
      <w:r>
        <w:separator/>
      </w:r>
    </w:p>
  </w:endnote>
  <w:endnote w:type="continuationSeparator" w:id="0">
    <w:p w14:paraId="1D333C4D" w14:textId="77777777" w:rsidR="00644F62" w:rsidRDefault="00644F62"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8142" w14:textId="77777777" w:rsidR="00644F62" w:rsidRDefault="00644F62" w:rsidP="00263AA0">
      <w:r>
        <w:separator/>
      </w:r>
    </w:p>
  </w:footnote>
  <w:footnote w:type="continuationSeparator" w:id="0">
    <w:p w14:paraId="55614F97" w14:textId="77777777" w:rsidR="00644F62" w:rsidRDefault="00644F62"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106A58"/>
    <w:rsid w:val="001C6B20"/>
    <w:rsid w:val="0021556E"/>
    <w:rsid w:val="00220609"/>
    <w:rsid w:val="0023341B"/>
    <w:rsid w:val="00263AA0"/>
    <w:rsid w:val="00275D0F"/>
    <w:rsid w:val="002C0F0A"/>
    <w:rsid w:val="003147FE"/>
    <w:rsid w:val="00344030"/>
    <w:rsid w:val="003D33EB"/>
    <w:rsid w:val="00592A8E"/>
    <w:rsid w:val="005B3198"/>
    <w:rsid w:val="005F38D6"/>
    <w:rsid w:val="00644F62"/>
    <w:rsid w:val="006C7DB4"/>
    <w:rsid w:val="007015E5"/>
    <w:rsid w:val="00751675"/>
    <w:rsid w:val="007578F7"/>
    <w:rsid w:val="007B2E68"/>
    <w:rsid w:val="007F11E6"/>
    <w:rsid w:val="00814718"/>
    <w:rsid w:val="008D6329"/>
    <w:rsid w:val="00A576FD"/>
    <w:rsid w:val="00B16F92"/>
    <w:rsid w:val="00B92926"/>
    <w:rsid w:val="00BD57AE"/>
    <w:rsid w:val="00C1378B"/>
    <w:rsid w:val="00C3154A"/>
    <w:rsid w:val="00C67929"/>
    <w:rsid w:val="00D0453D"/>
    <w:rsid w:val="00DA0F64"/>
    <w:rsid w:val="00DB639E"/>
    <w:rsid w:val="00E17E31"/>
    <w:rsid w:val="00F177F9"/>
    <w:rsid w:val="00F33D1C"/>
    <w:rsid w:val="00F730DE"/>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 w:type="paragraph" w:styleId="a7">
    <w:name w:val="Balloon Text"/>
    <w:basedOn w:val="a"/>
    <w:link w:val="a8"/>
    <w:uiPriority w:val="99"/>
    <w:semiHidden/>
    <w:unhideWhenUsed/>
    <w:rsid w:val="00BD57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5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2997-17FF-4A8F-924B-A409586E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雅崇 寺山</cp:lastModifiedBy>
  <cp:revision>22</cp:revision>
  <cp:lastPrinted>2022-04-05T11:01:00Z</cp:lastPrinted>
  <dcterms:created xsi:type="dcterms:W3CDTF">2021-04-30T15:50:00Z</dcterms:created>
  <dcterms:modified xsi:type="dcterms:W3CDTF">2026-03-02T03:59:00Z</dcterms:modified>
</cp:coreProperties>
</file>