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1C4D0A68"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6025F5">
        <w:rPr>
          <w:rFonts w:ascii="ＭＳ Ｐゴシック" w:eastAsia="ＭＳ Ｐゴシック" w:hAnsi="ＭＳ Ｐゴシック" w:hint="eastAsia"/>
          <w:sz w:val="20"/>
          <w:szCs w:val="20"/>
        </w:rPr>
        <w:t>Ｂ</w:t>
      </w:r>
      <w:r w:rsidR="00436C24">
        <w:rPr>
          <w:rFonts w:ascii="ＭＳ Ｐゴシック" w:eastAsia="ＭＳ Ｐゴシック" w:hAnsi="ＭＳ Ｐゴシック" w:hint="eastAsia"/>
          <w:sz w:val="20"/>
          <w:szCs w:val="20"/>
        </w:rPr>
        <w:t xml:space="preserve"> </w:t>
      </w:r>
      <w:r w:rsidR="0071529B">
        <w:rPr>
          <w:rFonts w:ascii="ＭＳ Ｐゴシック" w:eastAsia="ＭＳ Ｐゴシック" w:hAnsi="ＭＳ Ｐゴシック"/>
          <w:sz w:val="20"/>
          <w:szCs w:val="20"/>
        </w:rPr>
        <w:t>Select</w:t>
      </w:r>
      <w:r w:rsidR="00A62EC4">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6025F5">
        <w:rPr>
          <w:rFonts w:ascii="ＭＳ Ｐゴシック" w:eastAsia="ＭＳ Ｐゴシック" w:hAnsi="ＭＳ Ｐゴシック" w:hint="eastAsia"/>
          <w:sz w:val="20"/>
          <w:szCs w:val="20"/>
        </w:rPr>
        <w:t>Ｂ</w:t>
      </w:r>
      <w:r w:rsidR="0071529B">
        <w:rPr>
          <w:rFonts w:ascii="ＭＳ Ｐゴシック" w:eastAsia="ＭＳ Ｐゴシック" w:hAnsi="ＭＳ Ｐゴシック"/>
          <w:sz w:val="20"/>
          <w:szCs w:val="20"/>
        </w:rPr>
        <w:t>002-903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81F6D02" w14:textId="03E36EA7" w:rsidR="006025F5" w:rsidRDefault="006025F5" w:rsidP="006025F5">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Pr>
                <w:rFonts w:ascii="ＭＳ 明朝" w:eastAsia="ＭＳ 明朝" w:hAnsi="ＭＳ 明朝" w:cs="Adobe Song Std L" w:hint="eastAsia"/>
                <w:color w:val="000000" w:themeColor="text1"/>
                <w:szCs w:val="21"/>
              </w:rPr>
              <w:t>数列</w:t>
            </w:r>
            <w:r w:rsidRPr="002013E6">
              <w:rPr>
                <w:rFonts w:ascii="ＭＳ 明朝" w:eastAsia="ＭＳ 明朝" w:hAnsi="ＭＳ 明朝" w:cs="Adobe Song Std L"/>
                <w:color w:val="000000" w:themeColor="text1"/>
                <w:szCs w:val="21"/>
              </w:rPr>
              <w:t>」</w:t>
            </w:r>
            <w:r w:rsidRPr="002013E6">
              <w:rPr>
                <w:rFonts w:ascii="ＭＳ 明朝" w:eastAsia="ＭＳ 明朝" w:hAnsi="ＭＳ 明朝" w:cs="Adobe Song Std L" w:hint="eastAsia"/>
                <w:color w:val="000000" w:themeColor="text1"/>
                <w:szCs w:val="21"/>
              </w:rPr>
              <w:t>では，</w:t>
            </w:r>
            <w:r w:rsidRPr="009E5ECC">
              <w:rPr>
                <w:rFonts w:ascii="ＭＳ 明朝" w:eastAsia="ＭＳ 明朝" w:hAnsi="ＭＳ 明朝" w:cs="Adobe Song Std L"/>
                <w:color w:val="000000" w:themeColor="text1"/>
                <w:szCs w:val="21"/>
              </w:rPr>
              <w:t>等差数列と等比数列について，一般項や和の公式の導出，例題の解答などにおいて，可能な限り記述</w:t>
            </w:r>
            <w:r>
              <w:rPr>
                <w:rFonts w:ascii="ＭＳ 明朝" w:eastAsia="ＭＳ 明朝" w:hAnsi="ＭＳ 明朝" w:cs="Adobe Song Std L" w:hint="eastAsia"/>
                <w:color w:val="000000" w:themeColor="text1"/>
                <w:szCs w:val="21"/>
              </w:rPr>
              <w:t>が</w:t>
            </w:r>
            <w:r w:rsidRPr="009E5ECC">
              <w:rPr>
                <w:rFonts w:ascii="ＭＳ 明朝" w:eastAsia="ＭＳ 明朝" w:hAnsi="ＭＳ 明朝" w:cs="Adobe Song Std L"/>
                <w:color w:val="000000" w:themeColor="text1"/>
                <w:szCs w:val="21"/>
              </w:rPr>
              <w:t>統一</w:t>
            </w:r>
            <w:r>
              <w:rPr>
                <w:rFonts w:ascii="ＭＳ 明朝" w:eastAsia="ＭＳ 明朝" w:hAnsi="ＭＳ 明朝" w:cs="Adobe Song Std L" w:hint="eastAsia"/>
                <w:color w:val="000000" w:themeColor="text1"/>
                <w:szCs w:val="21"/>
              </w:rPr>
              <w:t>され，</w:t>
            </w:r>
            <w:r w:rsidRPr="009E5ECC">
              <w:rPr>
                <w:rFonts w:ascii="ＭＳ 明朝" w:eastAsia="ＭＳ 明朝" w:hAnsi="ＭＳ 明朝" w:cs="Adobe Song Std L"/>
                <w:color w:val="000000" w:themeColor="text1"/>
                <w:szCs w:val="21"/>
              </w:rPr>
              <w:t>加法的に定義される等差数列と，乗法的に定義される等比数列の，共通点と相違点が明確になるよう配慮</w:t>
            </w:r>
            <w:r>
              <w:rPr>
                <w:rFonts w:ascii="ＭＳ 明朝" w:eastAsia="ＭＳ 明朝" w:hAnsi="ＭＳ 明朝" w:cs="Adobe Song Std L" w:hint="eastAsia"/>
                <w:color w:val="000000" w:themeColor="text1"/>
                <w:szCs w:val="21"/>
              </w:rPr>
              <w:t>されている</w:t>
            </w:r>
            <w:r w:rsidRPr="009E5ECC">
              <w:rPr>
                <w:rFonts w:ascii="ＭＳ 明朝" w:eastAsia="ＭＳ 明朝" w:hAnsi="ＭＳ 明朝" w:cs="Adobe Song Std L"/>
                <w:color w:val="000000" w:themeColor="text1"/>
                <w:szCs w:val="21"/>
              </w:rPr>
              <w:t>。（p.8-2</w:t>
            </w:r>
            <w:r>
              <w:rPr>
                <w:rFonts w:ascii="ＭＳ 明朝" w:eastAsia="ＭＳ 明朝" w:hAnsi="ＭＳ 明朝" w:cs="Adobe Song Std L" w:hint="eastAsia"/>
                <w:color w:val="000000" w:themeColor="text1"/>
                <w:szCs w:val="21"/>
              </w:rPr>
              <w:t>2</w:t>
            </w:r>
            <w:r w:rsidRPr="009E5ECC">
              <w:rPr>
                <w:rFonts w:ascii="ＭＳ 明朝" w:eastAsia="ＭＳ 明朝" w:hAnsi="ＭＳ 明朝" w:cs="Adobe Song Std L"/>
                <w:color w:val="000000" w:themeColor="text1"/>
                <w:szCs w:val="21"/>
              </w:rPr>
              <w:t>）</w:t>
            </w:r>
          </w:p>
          <w:p w14:paraId="7221EE9C" w14:textId="2374B8EF" w:rsidR="006025F5" w:rsidRDefault="006025F5" w:rsidP="006025F5">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Pr>
                <w:rFonts w:ascii="ＭＳ 明朝" w:eastAsia="ＭＳ 明朝" w:hAnsi="ＭＳ 明朝" w:cs="Adobe Song Std L" w:hint="eastAsia"/>
                <w:color w:val="000000" w:themeColor="text1"/>
                <w:szCs w:val="21"/>
              </w:rPr>
              <w:t>数列</w:t>
            </w:r>
            <w:r w:rsidRPr="002013E6">
              <w:rPr>
                <w:rFonts w:ascii="ＭＳ 明朝" w:eastAsia="ＭＳ 明朝" w:hAnsi="ＭＳ 明朝" w:cs="Adobe Song Std L"/>
                <w:color w:val="000000" w:themeColor="text1"/>
                <w:szCs w:val="21"/>
              </w:rPr>
              <w:t>」</w:t>
            </w:r>
            <w:r w:rsidRPr="006025F5">
              <w:rPr>
                <w:rFonts w:ascii="ＭＳ 明朝" w:eastAsia="ＭＳ 明朝" w:hAnsi="ＭＳ 明朝" w:cs="Adobe Song Std L"/>
                <w:color w:val="000000" w:themeColor="text1"/>
                <w:szCs w:val="21"/>
              </w:rPr>
              <w:t>の導入では「曜日」，等差数列の導入では「割り算の余り」，等比数列の導入では「位取りの単位」</w:t>
            </w:r>
            <w:r>
              <w:rPr>
                <w:rFonts w:ascii="ＭＳ 明朝" w:eastAsia="ＭＳ 明朝" w:hAnsi="ＭＳ 明朝" w:cs="Adobe Song Std L" w:hint="eastAsia"/>
                <w:color w:val="000000" w:themeColor="text1"/>
                <w:szCs w:val="21"/>
              </w:rPr>
              <w:t>が</w:t>
            </w:r>
            <w:r w:rsidRPr="006025F5">
              <w:rPr>
                <w:rFonts w:ascii="ＭＳ 明朝" w:eastAsia="ＭＳ 明朝" w:hAnsi="ＭＳ 明朝" w:cs="Adobe Song Std L"/>
                <w:color w:val="000000" w:themeColor="text1"/>
                <w:szCs w:val="21"/>
              </w:rPr>
              <w:t>取り上げ</w:t>
            </w:r>
            <w:r>
              <w:rPr>
                <w:rFonts w:ascii="ＭＳ 明朝" w:eastAsia="ＭＳ 明朝" w:hAnsi="ＭＳ 明朝" w:cs="Adobe Song Std L" w:hint="eastAsia"/>
                <w:color w:val="000000" w:themeColor="text1"/>
                <w:szCs w:val="21"/>
              </w:rPr>
              <w:t>られ</w:t>
            </w:r>
            <w:r w:rsidRPr="006025F5">
              <w:rPr>
                <w:rFonts w:ascii="ＭＳ 明朝" w:eastAsia="ＭＳ 明朝" w:hAnsi="ＭＳ 明朝" w:cs="Adobe Song Std L"/>
                <w:color w:val="000000" w:themeColor="text1"/>
                <w:szCs w:val="21"/>
              </w:rPr>
              <w:t>るなど，具体例や身近な事柄</w:t>
            </w:r>
            <w:r>
              <w:rPr>
                <w:rFonts w:ascii="ＭＳ 明朝" w:eastAsia="ＭＳ 明朝" w:hAnsi="ＭＳ 明朝" w:cs="Adobe Song Std L" w:hint="eastAsia"/>
                <w:color w:val="000000" w:themeColor="text1"/>
                <w:szCs w:val="21"/>
              </w:rPr>
              <w:t>で</w:t>
            </w:r>
            <w:r w:rsidRPr="006025F5">
              <w:rPr>
                <w:rFonts w:ascii="ＭＳ 明朝" w:eastAsia="ＭＳ 明朝" w:hAnsi="ＭＳ 明朝" w:cs="Adobe Song Std L"/>
                <w:color w:val="000000" w:themeColor="text1"/>
                <w:szCs w:val="21"/>
              </w:rPr>
              <w:t>導入</w:t>
            </w:r>
            <w:r>
              <w:rPr>
                <w:rFonts w:ascii="ＭＳ 明朝" w:eastAsia="ＭＳ 明朝" w:hAnsi="ＭＳ 明朝" w:cs="Adobe Song Std L" w:hint="eastAsia"/>
                <w:color w:val="000000" w:themeColor="text1"/>
                <w:szCs w:val="21"/>
              </w:rPr>
              <w:t>されるよう配慮されている</w:t>
            </w:r>
            <w:r w:rsidRPr="006025F5">
              <w:rPr>
                <w:rFonts w:ascii="ＭＳ 明朝" w:eastAsia="ＭＳ 明朝" w:hAnsi="ＭＳ 明朝" w:cs="Adobe Song Std L"/>
                <w:color w:val="000000" w:themeColor="text1"/>
                <w:szCs w:val="21"/>
              </w:rPr>
              <w:t>。また，「複利法」や「漸化式の応用」（場合の数への応用），「等差数列の和と等比数列の和の増加の仕方の違い」（小遣いの金額の総額）</w:t>
            </w:r>
            <w:r>
              <w:rPr>
                <w:rFonts w:ascii="ＭＳ 明朝" w:eastAsia="ＭＳ 明朝" w:hAnsi="ＭＳ 明朝" w:cs="Adobe Song Std L" w:hint="eastAsia"/>
                <w:color w:val="000000" w:themeColor="text1"/>
                <w:szCs w:val="21"/>
              </w:rPr>
              <w:t>が</w:t>
            </w:r>
            <w:r w:rsidRPr="006025F5">
              <w:rPr>
                <w:rFonts w:ascii="ＭＳ 明朝" w:eastAsia="ＭＳ 明朝" w:hAnsi="ＭＳ 明朝" w:cs="Adobe Song Std L"/>
                <w:color w:val="000000" w:themeColor="text1"/>
                <w:szCs w:val="21"/>
              </w:rPr>
              <w:t>取り上げ</w:t>
            </w:r>
            <w:r>
              <w:rPr>
                <w:rFonts w:ascii="ＭＳ 明朝" w:eastAsia="ＭＳ 明朝" w:hAnsi="ＭＳ 明朝" w:cs="Adobe Song Std L" w:hint="eastAsia"/>
                <w:color w:val="000000" w:themeColor="text1"/>
                <w:szCs w:val="21"/>
              </w:rPr>
              <w:t>られ</w:t>
            </w:r>
            <w:r w:rsidRPr="006025F5">
              <w:rPr>
                <w:rFonts w:ascii="ＭＳ 明朝" w:eastAsia="ＭＳ 明朝" w:hAnsi="ＭＳ 明朝" w:cs="Adobe Song Std L"/>
                <w:color w:val="000000" w:themeColor="text1"/>
                <w:szCs w:val="21"/>
              </w:rPr>
              <w:t>るなど，本章で学ぶ事柄がさまざまな場面に応用できることを実感できるよう配慮</w:t>
            </w:r>
            <w:r>
              <w:rPr>
                <w:rFonts w:ascii="ＭＳ 明朝" w:eastAsia="ＭＳ 明朝" w:hAnsi="ＭＳ 明朝" w:cs="Adobe Song Std L" w:hint="eastAsia"/>
                <w:color w:val="000000" w:themeColor="text1"/>
                <w:szCs w:val="21"/>
              </w:rPr>
              <w:t>されている</w:t>
            </w:r>
            <w:r w:rsidRPr="006025F5">
              <w:rPr>
                <w:rFonts w:ascii="ＭＳ 明朝" w:eastAsia="ＭＳ 明朝" w:hAnsi="ＭＳ 明朝" w:cs="Adobe Song Std L"/>
                <w:color w:val="000000" w:themeColor="text1"/>
                <w:szCs w:val="21"/>
              </w:rPr>
              <w:t>。（p.8, 10, 13, 16, 18, 28, 35, 36, 38, 40, 45, 121）</w:t>
            </w:r>
          </w:p>
          <w:p w14:paraId="53C253C3" w14:textId="77777777" w:rsidR="006025F5" w:rsidRDefault="006025F5" w:rsidP="006025F5">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統計的な推測</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sidRPr="009E5ECC">
              <w:rPr>
                <w:rFonts w:ascii="ＭＳ 明朝" w:eastAsia="ＭＳ 明朝" w:hAnsi="ＭＳ 明朝" w:cs="Adobe Song Std L"/>
                <w:color w:val="000000" w:themeColor="text1"/>
                <w:szCs w:val="21"/>
              </w:rPr>
              <w:t>離散分布から連続分布への接続や，二項分布の正規分布による近似，中心極限定理，大数の法則など，区間を連続的に小さくしたり，nを連続的に大きくしたりしたときの変化が，視覚的に捉えやすいアニメーション</w:t>
            </w:r>
            <w:r>
              <w:rPr>
                <w:rFonts w:ascii="ＭＳ 明朝" w:eastAsia="ＭＳ 明朝" w:hAnsi="ＭＳ 明朝" w:cs="Adobe Song Std L" w:hint="eastAsia"/>
                <w:color w:val="000000" w:themeColor="text1"/>
                <w:szCs w:val="21"/>
              </w:rPr>
              <w:t>のQRコンテンツが</w:t>
            </w:r>
            <w:r w:rsidRPr="009E5ECC">
              <w:rPr>
                <w:rFonts w:ascii="ＭＳ 明朝" w:eastAsia="ＭＳ 明朝" w:hAnsi="ＭＳ 明朝" w:cs="Adobe Song Std L"/>
                <w:color w:val="000000" w:themeColor="text1"/>
                <w:szCs w:val="21"/>
              </w:rPr>
              <w:t>充実</w:t>
            </w:r>
            <w:r>
              <w:rPr>
                <w:rFonts w:ascii="ＭＳ 明朝" w:eastAsia="ＭＳ 明朝" w:hAnsi="ＭＳ 明朝" w:cs="Adobe Song Std L" w:hint="eastAsia"/>
                <w:color w:val="000000" w:themeColor="text1"/>
                <w:szCs w:val="21"/>
              </w:rPr>
              <w:t>している</w:t>
            </w:r>
            <w:r w:rsidRPr="009E5ECC">
              <w:rPr>
                <w:rFonts w:ascii="ＭＳ 明朝" w:eastAsia="ＭＳ 明朝" w:hAnsi="ＭＳ 明朝" w:cs="Adobe Song Std L"/>
                <w:color w:val="000000" w:themeColor="text1"/>
                <w:szCs w:val="21"/>
              </w:rPr>
              <w:t>。（2章 全体）</w:t>
            </w:r>
          </w:p>
          <w:p w14:paraId="6114328F" w14:textId="4617FC53" w:rsidR="006025F5" w:rsidRPr="00C07A31" w:rsidRDefault="006025F5" w:rsidP="006025F5">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統計的な推測</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の「仮説検定」では，</w:t>
            </w:r>
            <w:r w:rsidRPr="009E5ECC">
              <w:rPr>
                <w:rFonts w:ascii="ＭＳ 明朝" w:eastAsia="ＭＳ 明朝" w:hAnsi="ＭＳ 明朝" w:cs="Adobe Song Std L"/>
                <w:color w:val="000000" w:themeColor="text1"/>
                <w:szCs w:val="21"/>
              </w:rPr>
              <w:t>現代の統計ソフトでは標準的な「有意確率」と，区間推定との接続を意識した「棄却域」</w:t>
            </w:r>
            <w:r>
              <w:rPr>
                <w:rFonts w:ascii="ＭＳ 明朝" w:eastAsia="ＭＳ 明朝" w:hAnsi="ＭＳ 明朝" w:cs="Adobe Song Std L" w:hint="eastAsia"/>
                <w:color w:val="000000" w:themeColor="text1"/>
                <w:szCs w:val="21"/>
              </w:rPr>
              <w:t>の</w:t>
            </w:r>
            <w:r w:rsidRPr="009E5ECC">
              <w:rPr>
                <w:rFonts w:ascii="ＭＳ 明朝" w:eastAsia="ＭＳ 明朝" w:hAnsi="ＭＳ 明朝" w:cs="Adobe Song Std L"/>
                <w:color w:val="000000" w:themeColor="text1"/>
                <w:szCs w:val="21"/>
              </w:rPr>
              <w:t>両方</w:t>
            </w:r>
            <w:r>
              <w:rPr>
                <w:rFonts w:ascii="ＭＳ 明朝" w:eastAsia="ＭＳ 明朝" w:hAnsi="ＭＳ 明朝" w:cs="Adobe Song Std L" w:hint="eastAsia"/>
                <w:color w:val="000000" w:themeColor="text1"/>
                <w:szCs w:val="21"/>
              </w:rPr>
              <w:t>が</w:t>
            </w:r>
            <w:r w:rsidRPr="009E5ECC">
              <w:rPr>
                <w:rFonts w:ascii="ＭＳ 明朝" w:eastAsia="ＭＳ 明朝" w:hAnsi="ＭＳ 明朝" w:cs="Adobe Song Std L"/>
                <w:color w:val="000000" w:themeColor="text1"/>
                <w:szCs w:val="21"/>
              </w:rPr>
              <w:t>扱</w:t>
            </w:r>
            <w:r>
              <w:rPr>
                <w:rFonts w:ascii="ＭＳ 明朝" w:eastAsia="ＭＳ 明朝" w:hAnsi="ＭＳ 明朝" w:cs="Adobe Song Std L" w:hint="eastAsia"/>
                <w:color w:val="000000" w:themeColor="text1"/>
                <w:szCs w:val="21"/>
              </w:rPr>
              <w:t>われ，</w:t>
            </w:r>
            <w:r w:rsidRPr="009E5ECC">
              <w:rPr>
                <w:rFonts w:ascii="ＭＳ 明朝" w:eastAsia="ＭＳ 明朝" w:hAnsi="ＭＳ 明朝" w:cs="Adobe Song Std L"/>
                <w:color w:val="000000" w:themeColor="text1"/>
                <w:szCs w:val="21"/>
              </w:rPr>
              <w:t>大学以降での実践的な統計の準備と，区間推定からのスムーズな理解が両立できるよう配慮</w:t>
            </w:r>
            <w:r>
              <w:rPr>
                <w:rFonts w:ascii="ＭＳ 明朝" w:eastAsia="ＭＳ 明朝" w:hAnsi="ＭＳ 明朝" w:cs="Adobe Song Std L" w:hint="eastAsia"/>
                <w:color w:val="000000" w:themeColor="text1"/>
                <w:szCs w:val="21"/>
              </w:rPr>
              <w:t>されている</w:t>
            </w:r>
            <w:r w:rsidRPr="009E5ECC">
              <w:rPr>
                <w:rFonts w:ascii="ＭＳ 明朝" w:eastAsia="ＭＳ 明朝" w:hAnsi="ＭＳ 明朝" w:cs="Adobe Song Std L"/>
                <w:color w:val="000000" w:themeColor="text1"/>
                <w:szCs w:val="21"/>
              </w:rPr>
              <w:t>。（p.9</w:t>
            </w:r>
            <w:r>
              <w:rPr>
                <w:rFonts w:ascii="ＭＳ 明朝" w:eastAsia="ＭＳ 明朝" w:hAnsi="ＭＳ 明朝" w:cs="Adobe Song Std L" w:hint="eastAsia"/>
                <w:color w:val="000000" w:themeColor="text1"/>
                <w:szCs w:val="21"/>
              </w:rPr>
              <w:t>3</w:t>
            </w:r>
            <w:r w:rsidRPr="009E5ECC">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97</w:t>
            </w:r>
            <w:r w:rsidRPr="009E5ECC">
              <w:rPr>
                <w:rFonts w:ascii="ＭＳ 明朝" w:eastAsia="ＭＳ 明朝" w:hAnsi="ＭＳ 明朝" w:cs="Adobe Song Std L"/>
                <w:color w:val="000000" w:themeColor="text1"/>
                <w:szCs w:val="21"/>
              </w:rPr>
              <w:t>）</w:t>
            </w:r>
            <w:r w:rsidRPr="00C07A31">
              <w:rPr>
                <w:rFonts w:ascii="ＭＳ 明朝" w:eastAsia="ＭＳ 明朝" w:hAnsi="ＭＳ 明朝" w:cs="Adobe Song Std L" w:hint="eastAsia"/>
                <w:color w:val="000000" w:themeColor="text1"/>
                <w:szCs w:val="21"/>
              </w:rPr>
              <w:t xml:space="preserve"> </w:t>
            </w:r>
          </w:p>
          <w:p w14:paraId="25E720C2" w14:textId="6F56175A" w:rsidR="005B3198" w:rsidRPr="00C1378B" w:rsidRDefault="006025F5" w:rsidP="006025F5">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 xml:space="preserve">●「３章　</w:t>
            </w:r>
            <w:r>
              <w:rPr>
                <w:rFonts w:ascii="ＭＳ 明朝" w:eastAsia="ＭＳ 明朝" w:hAnsi="ＭＳ 明朝" w:cs="Adobe Song Std L" w:hint="eastAsia"/>
                <w:color w:val="000000" w:themeColor="text1"/>
                <w:szCs w:val="21"/>
              </w:rPr>
              <w:t>数学と社会生活</w:t>
            </w:r>
            <w:r w:rsidRPr="00C1378B">
              <w:rPr>
                <w:rFonts w:ascii="ＭＳ 明朝" w:eastAsia="ＭＳ 明朝" w:hAnsi="ＭＳ 明朝" w:cs="Adobe Song Std L"/>
                <w:color w:val="000000" w:themeColor="text1"/>
                <w:szCs w:val="21"/>
              </w:rPr>
              <w:t>」</w:t>
            </w:r>
            <w:r w:rsidRPr="009817CE">
              <w:rPr>
                <w:rFonts w:ascii="ＭＳ 明朝" w:eastAsia="ＭＳ 明朝" w:hAnsi="ＭＳ 明朝" w:cs="Adobe Song Std L"/>
                <w:color w:val="000000" w:themeColor="text1"/>
                <w:szCs w:val="21"/>
              </w:rPr>
              <w:t>では，</w:t>
            </w:r>
            <w:r w:rsidRPr="009E5ECC">
              <w:rPr>
                <w:rFonts w:ascii="ＭＳ 明朝" w:eastAsia="ＭＳ 明朝" w:hAnsi="ＭＳ 明朝" w:cs="Adobe Song Std L"/>
                <w:color w:val="000000" w:themeColor="text1"/>
                <w:szCs w:val="21"/>
              </w:rPr>
              <w:t>各項</w:t>
            </w:r>
            <w:r>
              <w:rPr>
                <w:rFonts w:ascii="ＭＳ 明朝" w:eastAsia="ＭＳ 明朝" w:hAnsi="ＭＳ 明朝" w:cs="Adobe Song Std L" w:hint="eastAsia"/>
                <w:color w:val="000000" w:themeColor="text1"/>
                <w:szCs w:val="21"/>
              </w:rPr>
              <w:t>で</w:t>
            </w:r>
            <w:r w:rsidRPr="009E5ECC">
              <w:rPr>
                <w:rFonts w:ascii="ＭＳ 明朝" w:eastAsia="ＭＳ 明朝" w:hAnsi="ＭＳ 明朝" w:cs="Adobe Song Std L"/>
                <w:color w:val="000000" w:themeColor="text1"/>
                <w:szCs w:val="21"/>
              </w:rPr>
              <w:t>それぞれ独立した問題解決の手法</w:t>
            </w:r>
            <w:r>
              <w:rPr>
                <w:rFonts w:ascii="ＭＳ 明朝" w:eastAsia="ＭＳ 明朝" w:hAnsi="ＭＳ 明朝" w:cs="Adobe Song Std L" w:hint="eastAsia"/>
                <w:color w:val="000000" w:themeColor="text1"/>
                <w:szCs w:val="21"/>
              </w:rPr>
              <w:t>が</w:t>
            </w:r>
            <w:r w:rsidRPr="009E5ECC">
              <w:rPr>
                <w:rFonts w:ascii="ＭＳ 明朝" w:eastAsia="ＭＳ 明朝" w:hAnsi="ＭＳ 明朝" w:cs="Adobe Song Std L"/>
                <w:color w:val="000000" w:themeColor="text1"/>
                <w:szCs w:val="21"/>
              </w:rPr>
              <w:t>扱</w:t>
            </w:r>
            <w:r>
              <w:rPr>
                <w:rFonts w:ascii="ＭＳ 明朝" w:eastAsia="ＭＳ 明朝" w:hAnsi="ＭＳ 明朝" w:cs="Adobe Song Std L" w:hint="eastAsia"/>
                <w:color w:val="000000" w:themeColor="text1"/>
                <w:szCs w:val="21"/>
              </w:rPr>
              <w:t>われ</w:t>
            </w:r>
            <w:r w:rsidRPr="009E5ECC">
              <w:rPr>
                <w:rFonts w:ascii="ＭＳ 明朝" w:eastAsia="ＭＳ 明朝" w:hAnsi="ＭＳ 明朝" w:cs="Adobe Song Std L"/>
                <w:color w:val="000000" w:themeColor="text1"/>
                <w:szCs w:val="21"/>
              </w:rPr>
              <w:t>，項の順序を変えて指導することや，一部の項を抜粋して指導することもできるよう</w:t>
            </w:r>
            <w:r>
              <w:rPr>
                <w:rFonts w:ascii="ＭＳ 明朝" w:eastAsia="ＭＳ 明朝" w:hAnsi="ＭＳ 明朝" w:cs="Adobe Song Std L" w:hint="eastAsia"/>
                <w:color w:val="000000" w:themeColor="text1"/>
                <w:szCs w:val="21"/>
              </w:rPr>
              <w:t>配慮されている</w:t>
            </w:r>
            <w:r w:rsidRPr="009E5ECC">
              <w:rPr>
                <w:rFonts w:ascii="ＭＳ 明朝" w:eastAsia="ＭＳ 明朝" w:hAnsi="ＭＳ 明朝" w:cs="Adobe Song Std L"/>
                <w:color w:val="000000" w:themeColor="text1"/>
                <w:szCs w:val="21"/>
              </w:rPr>
              <w:t>。（3章 全体）</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690B70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w:t>
            </w:r>
            <w:r w:rsidR="00363F02">
              <w:rPr>
                <w:rFonts w:ascii="ＭＳ 明朝" w:eastAsia="ＭＳ 明朝" w:hAnsi="ＭＳ 明朝" w:cs="Adobe Song Std L"/>
                <w:color w:val="000000" w:themeColor="text1"/>
                <w:szCs w:val="21"/>
              </w:rPr>
              <w:t>関連した</w:t>
            </w:r>
            <w:r w:rsidR="00363F02">
              <w:rPr>
                <w:rFonts w:ascii="ＭＳ 明朝" w:eastAsia="ＭＳ 明朝" w:hAnsi="ＭＳ 明朝" w:cs="Adobe Song Std L" w:hint="eastAsia"/>
                <w:color w:val="000000" w:themeColor="text1"/>
                <w:szCs w:val="21"/>
              </w:rPr>
              <w:t>中学校・数学Ⅰ・数学Ａ</w:t>
            </w:r>
            <w:r w:rsidR="00363F02">
              <w:rPr>
                <w:rFonts w:ascii="ＭＳ 明朝" w:eastAsia="ＭＳ 明朝" w:hAnsi="ＭＳ 明朝" w:cs="Adobe Song Std L"/>
                <w:color w:val="000000" w:themeColor="text1"/>
                <w:szCs w:val="21"/>
              </w:rPr>
              <w:t>の</w:t>
            </w:r>
            <w:r w:rsidR="003B29B4">
              <w:rPr>
                <w:rFonts w:ascii="ＭＳ 明朝" w:eastAsia="ＭＳ 明朝" w:hAnsi="ＭＳ 明朝" w:cs="Adobe Song Std L"/>
                <w:color w:val="000000" w:themeColor="text1"/>
                <w:szCs w:val="21"/>
              </w:rPr>
              <w:t>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0F86" w14:textId="77777777" w:rsidR="0033411F" w:rsidRDefault="0033411F" w:rsidP="00E91010">
      <w:r>
        <w:separator/>
      </w:r>
    </w:p>
  </w:endnote>
  <w:endnote w:type="continuationSeparator" w:id="0">
    <w:p w14:paraId="7CB1ED5A" w14:textId="77777777" w:rsidR="0033411F" w:rsidRDefault="0033411F"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6473" w14:textId="77777777" w:rsidR="0033411F" w:rsidRDefault="0033411F" w:rsidP="00E91010">
      <w:r>
        <w:separator/>
      </w:r>
    </w:p>
  </w:footnote>
  <w:footnote w:type="continuationSeparator" w:id="0">
    <w:p w14:paraId="541EC450" w14:textId="77777777" w:rsidR="0033411F" w:rsidRDefault="0033411F"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D0B70"/>
    <w:rsid w:val="00106A58"/>
    <w:rsid w:val="00110BE9"/>
    <w:rsid w:val="001873DC"/>
    <w:rsid w:val="001B298E"/>
    <w:rsid w:val="001D5847"/>
    <w:rsid w:val="002011D5"/>
    <w:rsid w:val="0029523B"/>
    <w:rsid w:val="002C0F0A"/>
    <w:rsid w:val="0033411F"/>
    <w:rsid w:val="00363F02"/>
    <w:rsid w:val="00382D2E"/>
    <w:rsid w:val="00387452"/>
    <w:rsid w:val="003A0BDA"/>
    <w:rsid w:val="003B29B4"/>
    <w:rsid w:val="003B6DE9"/>
    <w:rsid w:val="003D33EB"/>
    <w:rsid w:val="004238D5"/>
    <w:rsid w:val="00425FE2"/>
    <w:rsid w:val="00436C24"/>
    <w:rsid w:val="004A259C"/>
    <w:rsid w:val="004B7A77"/>
    <w:rsid w:val="00554066"/>
    <w:rsid w:val="00565DC9"/>
    <w:rsid w:val="005B3198"/>
    <w:rsid w:val="005E2097"/>
    <w:rsid w:val="005E5214"/>
    <w:rsid w:val="006025F5"/>
    <w:rsid w:val="0061539E"/>
    <w:rsid w:val="006275DE"/>
    <w:rsid w:val="00666163"/>
    <w:rsid w:val="00684BCD"/>
    <w:rsid w:val="0071529B"/>
    <w:rsid w:val="00755B10"/>
    <w:rsid w:val="0078029B"/>
    <w:rsid w:val="007B2E68"/>
    <w:rsid w:val="007F5B74"/>
    <w:rsid w:val="00893FFA"/>
    <w:rsid w:val="009240D7"/>
    <w:rsid w:val="009817CE"/>
    <w:rsid w:val="00A5537A"/>
    <w:rsid w:val="00A62EC4"/>
    <w:rsid w:val="00B64EC5"/>
    <w:rsid w:val="00B657E2"/>
    <w:rsid w:val="00C06B02"/>
    <w:rsid w:val="00C1378B"/>
    <w:rsid w:val="00D0453D"/>
    <w:rsid w:val="00D31F03"/>
    <w:rsid w:val="00D62E65"/>
    <w:rsid w:val="00DA0F64"/>
    <w:rsid w:val="00DC6F20"/>
    <w:rsid w:val="00DD0F6C"/>
    <w:rsid w:val="00E6460C"/>
    <w:rsid w:val="00E859F1"/>
    <w:rsid w:val="00E91010"/>
    <w:rsid w:val="00E91FA1"/>
    <w:rsid w:val="00EF0946"/>
    <w:rsid w:val="00F07501"/>
    <w:rsid w:val="00F55F78"/>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16</cp:revision>
  <cp:lastPrinted>2025-03-10T12:12:00Z</cp:lastPrinted>
  <dcterms:created xsi:type="dcterms:W3CDTF">2022-03-22T05:42:00Z</dcterms:created>
  <dcterms:modified xsi:type="dcterms:W3CDTF">2026-03-02T10:16:00Z</dcterms:modified>
</cp:coreProperties>
</file>