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0A8CDB6" w:rsidR="002C0F0A" w:rsidRPr="007B2E68" w:rsidRDefault="009240D7"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9B18AB">
        <w:rPr>
          <w:rFonts w:ascii="ＭＳ Ｐゴシック" w:eastAsia="ＭＳ Ｐゴシック" w:hAnsi="ＭＳ Ｐゴシック" w:hint="eastAsia"/>
          <w:sz w:val="20"/>
          <w:szCs w:val="20"/>
        </w:rPr>
        <w:t>Ｃ</w:t>
      </w:r>
      <w:r w:rsidR="00436C24">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A62EC4">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9B18AB">
        <w:rPr>
          <w:rFonts w:ascii="ＭＳ Ｐゴシック" w:eastAsia="ＭＳ Ｐゴシック" w:hAnsi="ＭＳ Ｐゴシック" w:hint="eastAsia"/>
          <w:sz w:val="20"/>
          <w:szCs w:val="20"/>
        </w:rPr>
        <w:t>Ｃ</w:t>
      </w:r>
      <w:r>
        <w:rPr>
          <w:rFonts w:ascii="ＭＳ Ｐゴシック" w:eastAsia="ＭＳ Ｐゴシック" w:hAnsi="ＭＳ Ｐゴシック"/>
          <w:sz w:val="20"/>
          <w:szCs w:val="20"/>
        </w:rPr>
        <w:t>002-902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F0EAE26" w14:textId="5AC915C6" w:rsidR="005B3198" w:rsidRDefault="005B3198" w:rsidP="009E5ECC">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sidR="009B18AB">
              <w:rPr>
                <w:rFonts w:ascii="ＭＳ 明朝" w:eastAsia="ＭＳ 明朝" w:hAnsi="ＭＳ 明朝" w:cs="Adobe Song Std L" w:hint="eastAsia"/>
                <w:color w:val="000000" w:themeColor="text1"/>
                <w:szCs w:val="21"/>
              </w:rPr>
              <w:t>ベクトル</w:t>
            </w:r>
            <w:r w:rsidRPr="002013E6">
              <w:rPr>
                <w:rFonts w:ascii="ＭＳ 明朝" w:eastAsia="ＭＳ 明朝" w:hAnsi="ＭＳ 明朝" w:cs="Adobe Song Std L"/>
                <w:color w:val="000000" w:themeColor="text1"/>
                <w:szCs w:val="21"/>
              </w:rPr>
              <w:t>」</w:t>
            </w:r>
            <w:r w:rsidR="00DC6F20" w:rsidRPr="002013E6">
              <w:rPr>
                <w:rFonts w:ascii="ＭＳ 明朝" w:eastAsia="ＭＳ 明朝" w:hAnsi="ＭＳ 明朝" w:cs="Adobe Song Std L" w:hint="eastAsia"/>
                <w:color w:val="000000" w:themeColor="text1"/>
                <w:szCs w:val="21"/>
              </w:rPr>
              <w:t>では，</w:t>
            </w:r>
            <w:r w:rsidR="00EA3B1B" w:rsidRPr="00EA3B1B">
              <w:rPr>
                <w:rFonts w:ascii="ＭＳ 明朝" w:eastAsia="ＭＳ 明朝" w:hAnsi="ＭＳ 明朝" w:cs="Adobe Song Std L"/>
                <w:color w:val="000000" w:themeColor="text1"/>
                <w:szCs w:val="21"/>
              </w:rPr>
              <w:t>平面ベクトルと空間ベクトルについて，類似した状況を考える場合においては可能な限り記述</w:t>
            </w:r>
            <w:r w:rsidR="00EA3B1B">
              <w:rPr>
                <w:rFonts w:ascii="ＭＳ 明朝" w:eastAsia="ＭＳ 明朝" w:hAnsi="ＭＳ 明朝" w:cs="Adobe Song Std L" w:hint="eastAsia"/>
                <w:color w:val="000000" w:themeColor="text1"/>
                <w:szCs w:val="21"/>
              </w:rPr>
              <w:t>が</w:t>
            </w:r>
            <w:r w:rsidR="00EA3B1B" w:rsidRPr="00EA3B1B">
              <w:rPr>
                <w:rFonts w:ascii="ＭＳ 明朝" w:eastAsia="ＭＳ 明朝" w:hAnsi="ＭＳ 明朝" w:cs="Adobe Song Std L"/>
                <w:color w:val="000000" w:themeColor="text1"/>
                <w:szCs w:val="21"/>
              </w:rPr>
              <w:t>統一</w:t>
            </w:r>
            <w:r w:rsidR="00EA3B1B">
              <w:rPr>
                <w:rFonts w:ascii="ＭＳ 明朝" w:eastAsia="ＭＳ 明朝" w:hAnsi="ＭＳ 明朝" w:cs="Adobe Song Std L" w:hint="eastAsia"/>
                <w:color w:val="000000" w:themeColor="text1"/>
                <w:szCs w:val="21"/>
              </w:rPr>
              <w:t>されており，</w:t>
            </w:r>
            <w:r w:rsidR="00EA3B1B" w:rsidRPr="00EA3B1B">
              <w:rPr>
                <w:rFonts w:ascii="ＭＳ 明朝" w:eastAsia="ＭＳ 明朝" w:hAnsi="ＭＳ 明朝" w:cs="Adobe Song Std L"/>
                <w:color w:val="000000" w:themeColor="text1"/>
                <w:szCs w:val="21"/>
              </w:rPr>
              <w:t>次元の違いにかかわらず成り立つ共通点と，次元の違いにより生じる相違点が明確になるよう配慮</w:t>
            </w:r>
            <w:r w:rsidR="00EA3B1B">
              <w:rPr>
                <w:rFonts w:ascii="ＭＳ 明朝" w:eastAsia="ＭＳ 明朝" w:hAnsi="ＭＳ 明朝" w:cs="Adobe Song Std L" w:hint="eastAsia"/>
                <w:color w:val="000000" w:themeColor="text1"/>
                <w:szCs w:val="21"/>
              </w:rPr>
              <w:t>されている</w:t>
            </w:r>
            <w:r w:rsidR="00EA3B1B" w:rsidRPr="009E5ECC">
              <w:rPr>
                <w:rFonts w:ascii="ＭＳ 明朝" w:eastAsia="ＭＳ 明朝" w:hAnsi="ＭＳ 明朝" w:cs="Adobe Song Std L"/>
                <w:color w:val="000000" w:themeColor="text1"/>
                <w:szCs w:val="21"/>
              </w:rPr>
              <w:t>。</w:t>
            </w:r>
            <w:r w:rsidR="00EA3B1B" w:rsidRPr="00EA3B1B">
              <w:rPr>
                <w:rFonts w:ascii="ＭＳ 明朝" w:eastAsia="ＭＳ 明朝" w:hAnsi="ＭＳ 明朝" w:cs="Adobe Song Std L"/>
                <w:color w:val="000000" w:themeColor="text1"/>
                <w:szCs w:val="21"/>
              </w:rPr>
              <w:t>（1章 全体）</w:t>
            </w:r>
          </w:p>
          <w:p w14:paraId="6D2B3058" w14:textId="320CDAFF" w:rsidR="00EA3B1B" w:rsidRDefault="00EA3B1B" w:rsidP="009E5ECC">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Pr>
                <w:rFonts w:ascii="ＭＳ 明朝" w:eastAsia="ＭＳ 明朝" w:hAnsi="ＭＳ 明朝" w:cs="Adobe Song Std L" w:hint="eastAsia"/>
                <w:color w:val="000000" w:themeColor="text1"/>
                <w:szCs w:val="21"/>
              </w:rPr>
              <w:t>ベクトル</w:t>
            </w:r>
            <w:r w:rsidRPr="002013E6">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w:t>
            </w:r>
            <w:r w:rsidRPr="00EA3B1B">
              <w:rPr>
                <w:rFonts w:ascii="ＭＳ 明朝" w:eastAsia="ＭＳ 明朝" w:hAnsi="ＭＳ 明朝" w:cs="Adobe Song Std L"/>
                <w:color w:val="000000" w:themeColor="text1"/>
                <w:szCs w:val="21"/>
              </w:rPr>
              <w:t>ベクトルを図形の性質に応用する問題</w:t>
            </w:r>
            <w:r>
              <w:rPr>
                <w:rFonts w:ascii="ＭＳ 明朝" w:eastAsia="ＭＳ 明朝" w:hAnsi="ＭＳ 明朝" w:cs="Adobe Song Std L" w:hint="eastAsia"/>
                <w:color w:val="000000" w:themeColor="text1"/>
                <w:szCs w:val="21"/>
              </w:rPr>
              <w:t>では</w:t>
            </w:r>
            <w:r w:rsidRPr="00EA3B1B">
              <w:rPr>
                <w:rFonts w:ascii="ＭＳ 明朝" w:eastAsia="ＭＳ 明朝" w:hAnsi="ＭＳ 明朝" w:cs="Adobe Song Std L"/>
                <w:color w:val="000000" w:themeColor="text1"/>
                <w:szCs w:val="21"/>
              </w:rPr>
              <w:t>，初等幾何による別解を考えるThink</w:t>
            </w:r>
            <w:r>
              <w:rPr>
                <w:rFonts w:ascii="ＭＳ 明朝" w:eastAsia="ＭＳ 明朝" w:hAnsi="ＭＳ 明朝" w:cs="Adobe Song Std L" w:hint="eastAsia"/>
                <w:color w:val="000000" w:themeColor="text1"/>
                <w:szCs w:val="21"/>
              </w:rPr>
              <w:t>が設けられており，</w:t>
            </w:r>
            <w:r w:rsidRPr="00EA3B1B">
              <w:rPr>
                <w:rFonts w:ascii="ＭＳ 明朝" w:eastAsia="ＭＳ 明朝" w:hAnsi="ＭＳ 明朝" w:cs="Adobe Song Std L"/>
                <w:color w:val="000000" w:themeColor="text1"/>
                <w:szCs w:val="21"/>
              </w:rPr>
              <w:t>ベクトルを用いることのよさを実感するなど，本章の内容をより深く理解できるよう</w:t>
            </w:r>
            <w:r>
              <w:rPr>
                <w:rFonts w:ascii="ＭＳ 明朝" w:eastAsia="ＭＳ 明朝" w:hAnsi="ＭＳ 明朝" w:cs="Adobe Song Std L" w:hint="eastAsia"/>
                <w:color w:val="000000" w:themeColor="text1"/>
                <w:szCs w:val="21"/>
              </w:rPr>
              <w:t>工夫されている</w:t>
            </w:r>
            <w:r w:rsidRPr="00EA3B1B">
              <w:rPr>
                <w:rFonts w:ascii="ＭＳ 明朝" w:eastAsia="ＭＳ 明朝" w:hAnsi="ＭＳ 明朝" w:cs="Adobe Song Std L"/>
                <w:color w:val="000000" w:themeColor="text1"/>
                <w:szCs w:val="21"/>
              </w:rPr>
              <w:t>。（p.33，p59，p165-168）</w:t>
            </w:r>
          </w:p>
          <w:p w14:paraId="75B8A979" w14:textId="461BA36E" w:rsidR="00C07A31" w:rsidRDefault="00C07A31" w:rsidP="00C07A31">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sidR="00EA3B1B">
              <w:rPr>
                <w:rFonts w:ascii="ＭＳ 明朝" w:eastAsia="ＭＳ 明朝" w:hAnsi="ＭＳ 明朝" w:cs="Adobe Song Std L" w:hint="eastAsia"/>
                <w:color w:val="000000" w:themeColor="text1"/>
                <w:szCs w:val="21"/>
              </w:rPr>
              <w:t>平面上の曲線</w:t>
            </w:r>
            <w:r w:rsidRPr="00C1378B">
              <w:rPr>
                <w:rFonts w:ascii="ＭＳ 明朝" w:eastAsia="ＭＳ 明朝" w:hAnsi="ＭＳ 明朝" w:cs="Adobe Song Std L"/>
                <w:color w:val="000000" w:themeColor="text1"/>
                <w:szCs w:val="21"/>
              </w:rPr>
              <w:t>」</w:t>
            </w:r>
            <w:r w:rsidR="00EA3B1B" w:rsidRPr="00EA3B1B">
              <w:rPr>
                <w:rFonts w:ascii="ＭＳ 明朝" w:eastAsia="ＭＳ 明朝" w:hAnsi="ＭＳ 明朝" w:cs="Adobe Song Std L"/>
                <w:color w:val="000000" w:themeColor="text1"/>
                <w:szCs w:val="21"/>
              </w:rPr>
              <w:t>では，動的なイメージをつかむのに役立つ動画やシミュレーションなどのデジタルコンテンツ</w:t>
            </w:r>
            <w:r w:rsidR="00EA3B1B">
              <w:rPr>
                <w:rFonts w:ascii="ＭＳ 明朝" w:eastAsia="ＭＳ 明朝" w:hAnsi="ＭＳ 明朝" w:cs="Adobe Song Std L" w:hint="eastAsia"/>
                <w:color w:val="000000" w:themeColor="text1"/>
                <w:szCs w:val="21"/>
              </w:rPr>
              <w:t>が</w:t>
            </w:r>
            <w:r w:rsidR="00EA3B1B" w:rsidRPr="00EA3B1B">
              <w:rPr>
                <w:rFonts w:ascii="ＭＳ 明朝" w:eastAsia="ＭＳ 明朝" w:hAnsi="ＭＳ 明朝" w:cs="Adobe Song Std L"/>
                <w:color w:val="000000" w:themeColor="text1"/>
                <w:szCs w:val="21"/>
              </w:rPr>
              <w:t>多数用意</w:t>
            </w:r>
            <w:r w:rsidR="00EA3B1B">
              <w:rPr>
                <w:rFonts w:ascii="ＭＳ 明朝" w:eastAsia="ＭＳ 明朝" w:hAnsi="ＭＳ 明朝" w:cs="Adobe Song Std L" w:hint="eastAsia"/>
                <w:color w:val="000000" w:themeColor="text1"/>
                <w:szCs w:val="21"/>
              </w:rPr>
              <w:t>されている</w:t>
            </w:r>
            <w:r w:rsidR="00EA3B1B" w:rsidRPr="00EA3B1B">
              <w:rPr>
                <w:rFonts w:ascii="ＭＳ 明朝" w:eastAsia="ＭＳ 明朝" w:hAnsi="ＭＳ 明朝" w:cs="Adobe Song Std L"/>
                <w:color w:val="000000" w:themeColor="text1"/>
                <w:szCs w:val="21"/>
              </w:rPr>
              <w:t>。</w:t>
            </w:r>
            <w:r w:rsidR="009E5ECC" w:rsidRPr="009E5ECC">
              <w:rPr>
                <w:rFonts w:ascii="ＭＳ 明朝" w:eastAsia="ＭＳ 明朝" w:hAnsi="ＭＳ 明朝" w:cs="Adobe Song Std L"/>
                <w:color w:val="000000" w:themeColor="text1"/>
                <w:szCs w:val="21"/>
              </w:rPr>
              <w:t>（2章 全体）</w:t>
            </w:r>
          </w:p>
          <w:p w14:paraId="2CC708A9" w14:textId="523E1D64" w:rsidR="00EA3B1B" w:rsidRDefault="005B3198" w:rsidP="00EA3B1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EA3B1B">
              <w:rPr>
                <w:rFonts w:ascii="ＭＳ 明朝" w:eastAsia="ＭＳ 明朝" w:hAnsi="ＭＳ 明朝" w:cs="Adobe Song Std L" w:hint="eastAsia"/>
                <w:color w:val="000000" w:themeColor="text1"/>
                <w:szCs w:val="21"/>
              </w:rPr>
              <w:t>複素数平面</w:t>
            </w:r>
            <w:r w:rsidRPr="00C1378B">
              <w:rPr>
                <w:rFonts w:ascii="ＭＳ 明朝" w:eastAsia="ＭＳ 明朝" w:hAnsi="ＭＳ 明朝" w:cs="Adobe Song Std L"/>
                <w:color w:val="000000" w:themeColor="text1"/>
                <w:szCs w:val="21"/>
              </w:rPr>
              <w:t>」</w:t>
            </w:r>
            <w:r w:rsidR="009817CE" w:rsidRPr="009817CE">
              <w:rPr>
                <w:rFonts w:ascii="ＭＳ 明朝" w:eastAsia="ＭＳ 明朝" w:hAnsi="ＭＳ 明朝" w:cs="Adobe Song Std L"/>
                <w:color w:val="000000" w:themeColor="text1"/>
                <w:szCs w:val="21"/>
              </w:rPr>
              <w:t>では，</w:t>
            </w:r>
            <w:r w:rsidR="00EA3B1B" w:rsidRPr="00EA3B1B">
              <w:rPr>
                <w:rFonts w:ascii="ＭＳ 明朝" w:eastAsia="ＭＳ 明朝" w:hAnsi="ＭＳ 明朝" w:cs="Adobe Song Std L"/>
                <w:color w:val="000000" w:themeColor="text1"/>
                <w:szCs w:val="21"/>
              </w:rPr>
              <w:t>複素数の計算</w:t>
            </w:r>
            <w:r w:rsidR="00EA3B1B">
              <w:rPr>
                <w:rFonts w:ascii="ＭＳ 明朝" w:eastAsia="ＭＳ 明朝" w:hAnsi="ＭＳ 明朝" w:cs="Adobe Song Std L" w:hint="eastAsia"/>
                <w:color w:val="000000" w:themeColor="text1"/>
                <w:szCs w:val="21"/>
              </w:rPr>
              <w:t>において</w:t>
            </w:r>
            <w:r w:rsidR="00EA3B1B" w:rsidRPr="00EA3B1B">
              <w:rPr>
                <w:rFonts w:ascii="ＭＳ 明朝" w:eastAsia="ＭＳ 明朝" w:hAnsi="ＭＳ 明朝" w:cs="Adobe Song Std L"/>
                <w:color w:val="000000" w:themeColor="text1"/>
                <w:szCs w:val="21"/>
              </w:rPr>
              <w:t>側注</w:t>
            </w:r>
            <w:r w:rsidR="00EA3B1B">
              <w:rPr>
                <w:rFonts w:ascii="ＭＳ 明朝" w:eastAsia="ＭＳ 明朝" w:hAnsi="ＭＳ 明朝" w:cs="Adobe Song Std L" w:hint="eastAsia"/>
                <w:color w:val="000000" w:themeColor="text1"/>
                <w:szCs w:val="21"/>
              </w:rPr>
              <w:t>が</w:t>
            </w:r>
            <w:r w:rsidR="00EA3B1B" w:rsidRPr="00EA3B1B">
              <w:rPr>
                <w:rFonts w:ascii="ＭＳ 明朝" w:eastAsia="ＭＳ 明朝" w:hAnsi="ＭＳ 明朝" w:cs="Adobe Song Std L"/>
                <w:color w:val="000000" w:themeColor="text1"/>
                <w:szCs w:val="21"/>
              </w:rPr>
              <w:t>適宜設けて</w:t>
            </w:r>
            <w:r w:rsidR="00EA3B1B">
              <w:rPr>
                <w:rFonts w:ascii="ＭＳ 明朝" w:eastAsia="ＭＳ 明朝" w:hAnsi="ＭＳ 明朝" w:cs="Adobe Song Std L" w:hint="eastAsia"/>
                <w:color w:val="000000" w:themeColor="text1"/>
                <w:szCs w:val="21"/>
              </w:rPr>
              <w:t>おり，</w:t>
            </w:r>
            <w:r w:rsidR="00EA3B1B" w:rsidRPr="00EA3B1B">
              <w:rPr>
                <w:rFonts w:ascii="ＭＳ 明朝" w:eastAsia="ＭＳ 明朝" w:hAnsi="ＭＳ 明朝" w:cs="Adobe Song Std L"/>
                <w:color w:val="000000" w:themeColor="text1"/>
                <w:szCs w:val="21"/>
              </w:rPr>
              <w:t>その式の意味や，式変形</w:t>
            </w:r>
            <w:r w:rsidR="00EA3B1B">
              <w:rPr>
                <w:rFonts w:ascii="ＭＳ 明朝" w:eastAsia="ＭＳ 明朝" w:hAnsi="ＭＳ 明朝" w:cs="Adobe Song Std L" w:hint="eastAsia"/>
                <w:color w:val="000000" w:themeColor="text1"/>
                <w:szCs w:val="21"/>
              </w:rPr>
              <w:t>が理解し</w:t>
            </w:r>
            <w:r w:rsidR="00EA3B1B" w:rsidRPr="00EA3B1B">
              <w:rPr>
                <w:rFonts w:ascii="ＭＳ 明朝" w:eastAsia="ＭＳ 明朝" w:hAnsi="ＭＳ 明朝" w:cs="Adobe Song Std L"/>
                <w:color w:val="000000" w:themeColor="text1"/>
                <w:szCs w:val="21"/>
              </w:rPr>
              <w:t>やす</w:t>
            </w:r>
            <w:r w:rsidR="00EA3B1B">
              <w:rPr>
                <w:rFonts w:ascii="ＭＳ 明朝" w:eastAsia="ＭＳ 明朝" w:hAnsi="ＭＳ 明朝" w:cs="Adobe Song Std L" w:hint="eastAsia"/>
                <w:color w:val="000000" w:themeColor="text1"/>
                <w:szCs w:val="21"/>
              </w:rPr>
              <w:t>いよう工夫されている</w:t>
            </w:r>
            <w:r w:rsidR="00EA3B1B" w:rsidRPr="00EA3B1B">
              <w:rPr>
                <w:rFonts w:ascii="ＭＳ 明朝" w:eastAsia="ＭＳ 明朝" w:hAnsi="ＭＳ 明朝" w:cs="Adobe Song Std L"/>
                <w:color w:val="000000" w:themeColor="text1"/>
                <w:szCs w:val="21"/>
              </w:rPr>
              <w:t>。（p.121，127，129，133）</w:t>
            </w:r>
          </w:p>
          <w:p w14:paraId="2863B7CF" w14:textId="22A64C0C" w:rsidR="00EA3B1B" w:rsidRDefault="00EA3B1B" w:rsidP="00EA3B1B">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４</w:t>
            </w:r>
            <w:r w:rsidRPr="00C1378B">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数学的な表現の工夫</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w:t>
            </w:r>
            <w:r w:rsidRPr="00EA3B1B">
              <w:rPr>
                <w:rFonts w:ascii="ＭＳ 明朝" w:eastAsia="ＭＳ 明朝" w:hAnsi="ＭＳ 明朝" w:cs="Adobe Song Std L"/>
                <w:color w:val="000000" w:themeColor="text1"/>
                <w:szCs w:val="21"/>
              </w:rPr>
              <w:t>統計グラフの表現の学習では，日本の高齢化や，国別のＧＤＰと寿命の関係といった社会的な問題の題材</w:t>
            </w:r>
            <w:r>
              <w:rPr>
                <w:rFonts w:ascii="ＭＳ 明朝" w:eastAsia="ＭＳ 明朝" w:hAnsi="ＭＳ 明朝" w:cs="Adobe Song Std L" w:hint="eastAsia"/>
                <w:color w:val="000000" w:themeColor="text1"/>
                <w:szCs w:val="21"/>
              </w:rPr>
              <w:t>が</w:t>
            </w:r>
            <w:r w:rsidRPr="00EA3B1B">
              <w:rPr>
                <w:rFonts w:ascii="ＭＳ 明朝" w:eastAsia="ＭＳ 明朝" w:hAnsi="ＭＳ 明朝" w:cs="Adobe Song Std L"/>
                <w:color w:val="000000" w:themeColor="text1"/>
                <w:szCs w:val="21"/>
              </w:rPr>
              <w:t>多く取り上げ</w:t>
            </w:r>
            <w:r>
              <w:rPr>
                <w:rFonts w:ascii="ＭＳ 明朝" w:eastAsia="ＭＳ 明朝" w:hAnsi="ＭＳ 明朝" w:cs="Adobe Song Std L" w:hint="eastAsia"/>
                <w:color w:val="000000" w:themeColor="text1"/>
                <w:szCs w:val="21"/>
              </w:rPr>
              <w:t>られ</w:t>
            </w:r>
            <w:r w:rsidRPr="00EA3B1B">
              <w:rPr>
                <w:rFonts w:ascii="ＭＳ 明朝" w:eastAsia="ＭＳ 明朝" w:hAnsi="ＭＳ 明朝" w:cs="Adobe Song Std L"/>
                <w:color w:val="000000" w:themeColor="text1"/>
                <w:szCs w:val="21"/>
              </w:rPr>
              <w:t>ており，統計グラフの表現を工夫して問題を可視化することの意義が感じられるよう</w:t>
            </w:r>
            <w:r>
              <w:rPr>
                <w:rFonts w:ascii="ＭＳ 明朝" w:eastAsia="ＭＳ 明朝" w:hAnsi="ＭＳ 明朝" w:cs="Adobe Song Std L" w:hint="eastAsia"/>
                <w:color w:val="000000" w:themeColor="text1"/>
                <w:szCs w:val="21"/>
              </w:rPr>
              <w:t>配慮されている</w:t>
            </w:r>
            <w:r w:rsidRPr="00EA3B1B">
              <w:rPr>
                <w:rFonts w:ascii="ＭＳ 明朝" w:eastAsia="ＭＳ 明朝" w:hAnsi="ＭＳ 明朝" w:cs="Adobe Song Std L"/>
                <w:color w:val="000000" w:themeColor="text1"/>
                <w:szCs w:val="21"/>
              </w:rPr>
              <w:t>。（p.138-145）</w:t>
            </w:r>
          </w:p>
          <w:p w14:paraId="25E720C2" w14:textId="7C8C4885" w:rsidR="005B3198" w:rsidRPr="00C1378B" w:rsidRDefault="005B3198" w:rsidP="00EA3B1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028A815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w:t>
            </w:r>
            <w:r w:rsidR="002013E6">
              <w:rPr>
                <w:rFonts w:ascii="ＭＳ 明朝" w:eastAsia="ＭＳ 明朝" w:hAnsi="ＭＳ 明朝" w:cs="Adobe Song Std L" w:hint="eastAsia"/>
                <w:color w:val="000000" w:themeColor="text1"/>
                <w:szCs w:val="21"/>
              </w:rPr>
              <w:t>中学校・数学Ⅰ・数学Ａ</w:t>
            </w:r>
            <w:r w:rsidR="003B29B4">
              <w:rPr>
                <w:rFonts w:ascii="ＭＳ 明朝" w:eastAsia="ＭＳ 明朝" w:hAnsi="ＭＳ 明朝" w:cs="Adobe Song Std L"/>
                <w:color w:val="000000" w:themeColor="text1"/>
                <w:szCs w:val="21"/>
              </w:rPr>
              <w:t>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E4E3" w14:textId="77777777" w:rsidR="006B4D59" w:rsidRDefault="006B4D59" w:rsidP="00E91010">
      <w:r>
        <w:separator/>
      </w:r>
    </w:p>
  </w:endnote>
  <w:endnote w:type="continuationSeparator" w:id="0">
    <w:p w14:paraId="1AC4364D" w14:textId="77777777" w:rsidR="006B4D59" w:rsidRDefault="006B4D59"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E2CA" w14:textId="77777777" w:rsidR="006B4D59" w:rsidRDefault="006B4D59" w:rsidP="00E91010">
      <w:r>
        <w:separator/>
      </w:r>
    </w:p>
  </w:footnote>
  <w:footnote w:type="continuationSeparator" w:id="0">
    <w:p w14:paraId="6ECF610B" w14:textId="77777777" w:rsidR="006B4D59" w:rsidRDefault="006B4D59"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106A58"/>
    <w:rsid w:val="00110BE9"/>
    <w:rsid w:val="0011581D"/>
    <w:rsid w:val="001873DC"/>
    <w:rsid w:val="001B298E"/>
    <w:rsid w:val="002011D5"/>
    <w:rsid w:val="002013E6"/>
    <w:rsid w:val="0029523B"/>
    <w:rsid w:val="002C0F0A"/>
    <w:rsid w:val="0033681A"/>
    <w:rsid w:val="00362D79"/>
    <w:rsid w:val="00382D2E"/>
    <w:rsid w:val="00387452"/>
    <w:rsid w:val="003A0BDA"/>
    <w:rsid w:val="003B29B4"/>
    <w:rsid w:val="003B6DE9"/>
    <w:rsid w:val="003D33EB"/>
    <w:rsid w:val="003D65E2"/>
    <w:rsid w:val="004238D5"/>
    <w:rsid w:val="00425FE2"/>
    <w:rsid w:val="00436C24"/>
    <w:rsid w:val="004E08F7"/>
    <w:rsid w:val="005B3198"/>
    <w:rsid w:val="0061539E"/>
    <w:rsid w:val="006275DE"/>
    <w:rsid w:val="00664649"/>
    <w:rsid w:val="00666163"/>
    <w:rsid w:val="00684BCD"/>
    <w:rsid w:val="006B4D59"/>
    <w:rsid w:val="00755B10"/>
    <w:rsid w:val="0078029B"/>
    <w:rsid w:val="007B2E68"/>
    <w:rsid w:val="007E1ABF"/>
    <w:rsid w:val="007F5B74"/>
    <w:rsid w:val="00824DE7"/>
    <w:rsid w:val="00893FFA"/>
    <w:rsid w:val="009240D7"/>
    <w:rsid w:val="0095525A"/>
    <w:rsid w:val="009817CE"/>
    <w:rsid w:val="009B18AB"/>
    <w:rsid w:val="009E5ECC"/>
    <w:rsid w:val="00A5537A"/>
    <w:rsid w:val="00A62EC4"/>
    <w:rsid w:val="00B64EC5"/>
    <w:rsid w:val="00B657E2"/>
    <w:rsid w:val="00B87E0D"/>
    <w:rsid w:val="00C07A31"/>
    <w:rsid w:val="00C1378B"/>
    <w:rsid w:val="00D0453D"/>
    <w:rsid w:val="00D31F03"/>
    <w:rsid w:val="00DA0F64"/>
    <w:rsid w:val="00DC11A9"/>
    <w:rsid w:val="00DC6F20"/>
    <w:rsid w:val="00E859F1"/>
    <w:rsid w:val="00E85AF7"/>
    <w:rsid w:val="00E91010"/>
    <w:rsid w:val="00E91FA1"/>
    <w:rsid w:val="00EA3B1B"/>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16</cp:revision>
  <cp:lastPrinted>2025-03-10T12:15:00Z</cp:lastPrinted>
  <dcterms:created xsi:type="dcterms:W3CDTF">2022-03-22T05:42:00Z</dcterms:created>
  <dcterms:modified xsi:type="dcterms:W3CDTF">2026-03-02T10:00:00Z</dcterms:modified>
</cp:coreProperties>
</file>