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BD292" w14:textId="399EE631" w:rsidR="00FC02B1" w:rsidRPr="007B2E68" w:rsidRDefault="00FC02B1" w:rsidP="00FC02B1">
      <w:pPr>
        <w:jc w:val="right"/>
        <w:rPr>
          <w:rFonts w:ascii="ＭＳ Ｐゴシック" w:eastAsia="ＭＳ Ｐゴシック" w:hAnsi="ＭＳ Ｐゴシック"/>
          <w:sz w:val="18"/>
          <w:szCs w:val="18"/>
          <w:bdr w:val="single" w:sz="4" w:space="0" w:color="auto"/>
        </w:rPr>
      </w:pPr>
      <w:r w:rsidRPr="007B2E68">
        <w:rPr>
          <w:rFonts w:ascii="ＭＳ Ｐゴシック" w:eastAsia="ＭＳ Ｐゴシック" w:hAnsi="ＭＳ Ｐゴシック" w:hint="eastAsia"/>
          <w:sz w:val="18"/>
          <w:szCs w:val="18"/>
          <w:bdr w:val="single" w:sz="4" w:space="0" w:color="auto"/>
        </w:rPr>
        <w:t>令和</w:t>
      </w:r>
      <w:r w:rsidR="000722E7">
        <w:rPr>
          <w:rFonts w:ascii="ＭＳ Ｐゴシック" w:eastAsia="ＭＳ Ｐゴシック" w:hAnsi="ＭＳ Ｐゴシック" w:hint="eastAsia"/>
          <w:sz w:val="18"/>
          <w:szCs w:val="18"/>
          <w:bdr w:val="single" w:sz="4" w:space="0" w:color="auto"/>
        </w:rPr>
        <w:t>９</w:t>
      </w:r>
      <w:r w:rsidRPr="007B2E68">
        <w:rPr>
          <w:rFonts w:ascii="ＭＳ Ｐゴシック" w:eastAsia="ＭＳ Ｐゴシック" w:hAnsi="ＭＳ Ｐゴシック" w:hint="eastAsia"/>
          <w:sz w:val="18"/>
          <w:szCs w:val="18"/>
          <w:bdr w:val="single" w:sz="4" w:space="0" w:color="auto"/>
        </w:rPr>
        <w:t>年度用内容解説資料</w:t>
      </w:r>
    </w:p>
    <w:p w14:paraId="73D68E5E" w14:textId="6C672BE5" w:rsidR="002C0F0A" w:rsidRPr="003D33EB" w:rsidRDefault="00DA0F64" w:rsidP="003D33EB">
      <w:pPr>
        <w:adjustRightInd w:val="0"/>
        <w:snapToGrid w:val="0"/>
        <w:rPr>
          <w:rFonts w:ascii="ＭＳ Ｐゴシック" w:eastAsia="ＭＳ Ｐゴシック" w:hAnsi="ＭＳ Ｐゴシック"/>
          <w:sz w:val="28"/>
          <w:szCs w:val="28"/>
        </w:rPr>
      </w:pPr>
      <w:r w:rsidRPr="003D33EB">
        <w:rPr>
          <w:rFonts w:ascii="ＭＳ Ｐゴシック" w:eastAsia="ＭＳ Ｐゴシック" w:hAnsi="ＭＳ Ｐゴシック" w:hint="eastAsia"/>
          <w:sz w:val="28"/>
          <w:szCs w:val="28"/>
        </w:rPr>
        <w:t>◆</w:t>
      </w:r>
      <w:r w:rsidR="002C0F0A" w:rsidRPr="003D33EB">
        <w:rPr>
          <w:rFonts w:ascii="ＭＳ Ｐゴシック" w:eastAsia="ＭＳ Ｐゴシック" w:hAnsi="ＭＳ Ｐゴシック" w:hint="eastAsia"/>
          <w:sz w:val="28"/>
          <w:szCs w:val="28"/>
        </w:rPr>
        <w:t>ご検討の観点と内容の特色</w:t>
      </w:r>
      <w:r w:rsidRPr="003D33EB">
        <w:rPr>
          <w:rFonts w:ascii="ＭＳ Ｐゴシック" w:eastAsia="ＭＳ Ｐゴシック" w:hAnsi="ＭＳ Ｐゴシック" w:hint="eastAsia"/>
          <w:sz w:val="28"/>
          <w:szCs w:val="28"/>
        </w:rPr>
        <w:t>◆</w:t>
      </w:r>
    </w:p>
    <w:p w14:paraId="3E5F1A36" w14:textId="69CAB340" w:rsidR="002C0F0A" w:rsidRPr="007B2E68" w:rsidRDefault="005A3861" w:rsidP="002C0F0A">
      <w:pPr>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改訂版 </w:t>
      </w:r>
      <w:r w:rsidR="002C0F0A" w:rsidRPr="007B2E68">
        <w:rPr>
          <w:rFonts w:ascii="ＭＳ Ｐゴシック" w:eastAsia="ＭＳ Ｐゴシック" w:hAnsi="ＭＳ Ｐゴシック" w:hint="eastAsia"/>
          <w:sz w:val="20"/>
          <w:szCs w:val="20"/>
        </w:rPr>
        <w:t>数学</w:t>
      </w:r>
      <w:r w:rsidR="000722E7">
        <w:rPr>
          <w:rFonts w:ascii="ＭＳ Ｐゴシック" w:eastAsia="ＭＳ Ｐゴシック" w:hAnsi="ＭＳ Ｐゴシック" w:hint="eastAsia"/>
          <w:sz w:val="20"/>
          <w:szCs w:val="20"/>
        </w:rPr>
        <w:t>Ⅱ</w:t>
      </w:r>
      <w:r w:rsidR="007B2E68" w:rsidRPr="007B2E68">
        <w:rPr>
          <w:rFonts w:ascii="ＭＳ Ｐゴシック" w:eastAsia="ＭＳ Ｐゴシック" w:hAnsi="ＭＳ Ｐゴシック" w:hint="eastAsia"/>
          <w:sz w:val="20"/>
          <w:szCs w:val="20"/>
        </w:rPr>
        <w:t xml:space="preserve"> </w:t>
      </w:r>
      <w:r w:rsidR="002C0F0A" w:rsidRPr="007B2E68">
        <w:rPr>
          <w:rFonts w:ascii="ＭＳ Ｐゴシック" w:eastAsia="ＭＳ Ｐゴシック" w:hAnsi="ＭＳ Ｐゴシック"/>
          <w:sz w:val="20"/>
          <w:szCs w:val="20"/>
        </w:rPr>
        <w:t>Advanced</w:t>
      </w:r>
      <w:r w:rsidR="007B2E68" w:rsidRPr="007B2E68">
        <w:rPr>
          <w:rFonts w:ascii="ＭＳ Ｐゴシック" w:eastAsia="ＭＳ Ｐゴシック" w:hAnsi="ＭＳ Ｐゴシック" w:hint="eastAsia"/>
          <w:sz w:val="20"/>
          <w:szCs w:val="20"/>
        </w:rPr>
        <w:t>/</w:t>
      </w:r>
      <w:r w:rsidR="002C0F0A" w:rsidRPr="007B2E68">
        <w:rPr>
          <w:rFonts w:ascii="ＭＳ Ｐゴシック" w:eastAsia="ＭＳ Ｐゴシック" w:hAnsi="ＭＳ Ｐゴシック"/>
          <w:sz w:val="20"/>
          <w:szCs w:val="20"/>
        </w:rPr>
        <w:t>2東書・数</w:t>
      </w:r>
      <w:r w:rsidR="005A2176">
        <w:rPr>
          <w:rFonts w:ascii="ＭＳ Ｐゴシック" w:eastAsia="ＭＳ Ｐゴシック" w:hAnsi="ＭＳ Ｐゴシック" w:hint="eastAsia"/>
          <w:sz w:val="20"/>
          <w:szCs w:val="20"/>
        </w:rPr>
        <w:t>Ⅱ</w:t>
      </w:r>
      <w:r>
        <w:rPr>
          <w:rFonts w:ascii="ＭＳ Ｐゴシック" w:eastAsia="ＭＳ Ｐゴシック" w:hAnsi="ＭＳ Ｐゴシック" w:hint="eastAsia"/>
          <w:sz w:val="20"/>
          <w:szCs w:val="20"/>
        </w:rPr>
        <w:t>002-901</w:t>
      </w:r>
    </w:p>
    <w:p w14:paraId="7A342EBB" w14:textId="77777777" w:rsidR="003D33EB" w:rsidRPr="002C0F0A" w:rsidRDefault="003D33EB" w:rsidP="002C0F0A">
      <w:pPr>
        <w:jc w:val="right"/>
        <w:rPr>
          <w:rFonts w:ascii="ＭＳ Ｐゴシック" w:eastAsia="ＭＳ Ｐゴシック" w:hAnsi="ＭＳ Ｐゴシック"/>
          <w:szCs w:val="21"/>
        </w:rPr>
      </w:pPr>
    </w:p>
    <w:tbl>
      <w:tblPr>
        <w:tblW w:w="10770" w:type="dxa"/>
        <w:tblLayout w:type="fixed"/>
        <w:tblCellMar>
          <w:top w:w="57" w:type="dxa"/>
          <w:left w:w="57" w:type="dxa"/>
          <w:bottom w:w="57" w:type="dxa"/>
          <w:right w:w="57" w:type="dxa"/>
        </w:tblCellMar>
        <w:tblLook w:val="01E0" w:firstRow="1" w:lastRow="1" w:firstColumn="1" w:lastColumn="1" w:noHBand="0" w:noVBand="0"/>
      </w:tblPr>
      <w:tblGrid>
        <w:gridCol w:w="567"/>
        <w:gridCol w:w="3116"/>
        <w:gridCol w:w="7087"/>
      </w:tblGrid>
      <w:tr w:rsidR="003D33EB" w:rsidRPr="002C0F0A" w14:paraId="6F08A846" w14:textId="07910375" w:rsidTr="005F7943">
        <w:trPr>
          <w:cantSplit/>
          <w:tblHeader/>
        </w:trPr>
        <w:tc>
          <w:tcPr>
            <w:tcW w:w="567" w:type="dxa"/>
            <w:tcBorders>
              <w:top w:val="single" w:sz="2" w:space="0" w:color="58595B"/>
              <w:left w:val="single" w:sz="2" w:space="0" w:color="58595B"/>
              <w:bottom w:val="single" w:sz="2" w:space="0" w:color="6D6E71"/>
              <w:right w:val="single" w:sz="2" w:space="0" w:color="58595B"/>
            </w:tcBorders>
            <w:shd w:val="clear" w:color="auto" w:fill="806000" w:themeFill="accent4" w:themeFillShade="80"/>
          </w:tcPr>
          <w:p w14:paraId="5B8849CD" w14:textId="1B8F2681" w:rsidR="003D33EB" w:rsidRPr="002C0F0A" w:rsidRDefault="003D33EB" w:rsidP="002C0F0A">
            <w:pPr>
              <w:adjustRightInd w:val="0"/>
              <w:ind w:leftChars="-50" w:left="-105" w:rightChars="-50" w:right="-105"/>
              <w:jc w:val="center"/>
              <w:rPr>
                <w:rFonts w:ascii="ＭＳ ゴシック" w:eastAsia="ＭＳ ゴシック" w:hAnsi="ＭＳ ゴシック" w:cs="A-OTF ゴシックMB101 Pro L"/>
                <w:szCs w:val="21"/>
              </w:rPr>
            </w:pPr>
            <w:r w:rsidRPr="002C0F0A">
              <w:rPr>
                <w:rFonts w:ascii="ＭＳ ゴシック" w:eastAsia="ＭＳ ゴシック" w:hAnsi="ＭＳ ゴシック" w:cs="A-OTF ゴシックMB101 Pro L"/>
                <w:color w:val="FFFFFF"/>
                <w:position w:val="-2"/>
                <w:szCs w:val="21"/>
              </w:rPr>
              <w:t>項</w:t>
            </w:r>
            <w:r w:rsidRPr="002C0F0A">
              <w:rPr>
                <w:rFonts w:ascii="ＭＳ ゴシック" w:eastAsia="ＭＳ ゴシック" w:hAnsi="ＭＳ ゴシック" w:cs="A-OTF ゴシックMB101 Pro L"/>
                <w:color w:val="FFFFFF"/>
                <w:w w:val="103"/>
                <w:position w:val="-2"/>
                <w:szCs w:val="21"/>
              </w:rPr>
              <w:t>目</w:t>
            </w:r>
          </w:p>
        </w:tc>
        <w:tc>
          <w:tcPr>
            <w:tcW w:w="3116" w:type="dxa"/>
            <w:tcBorders>
              <w:top w:val="single" w:sz="2" w:space="0" w:color="58595B"/>
              <w:left w:val="single" w:sz="2" w:space="0" w:color="58595B"/>
              <w:bottom w:val="single" w:sz="2" w:space="0" w:color="6D6E71"/>
              <w:right w:val="single" w:sz="2" w:space="0" w:color="58595B"/>
            </w:tcBorders>
            <w:shd w:val="clear" w:color="auto" w:fill="806000" w:themeFill="accent4" w:themeFillShade="80"/>
          </w:tcPr>
          <w:p w14:paraId="16843044" w14:textId="5DC4D0B8" w:rsidR="003D33EB" w:rsidRPr="002C0F0A" w:rsidRDefault="003D33EB" w:rsidP="002C0F0A">
            <w:pPr>
              <w:adjustRightInd w:val="0"/>
              <w:ind w:leftChars="-50" w:left="-105" w:rightChars="-50" w:right="-105"/>
              <w:jc w:val="center"/>
              <w:rPr>
                <w:rFonts w:ascii="ＭＳ ゴシック" w:eastAsia="ＭＳ ゴシック" w:hAnsi="ＭＳ ゴシック" w:cs="Adobe Song Std L"/>
                <w:szCs w:val="21"/>
              </w:rPr>
            </w:pPr>
            <w:r w:rsidRPr="002C0F0A">
              <w:rPr>
                <w:rFonts w:ascii="ＭＳ ゴシック" w:eastAsia="ＭＳ ゴシック" w:hAnsi="ＭＳ ゴシック" w:cs="Adobe Song Std L"/>
                <w:color w:val="FFFFFF"/>
                <w:w w:val="103"/>
                <w:szCs w:val="21"/>
              </w:rPr>
              <w:t>観点</w:t>
            </w:r>
          </w:p>
        </w:tc>
        <w:tc>
          <w:tcPr>
            <w:tcW w:w="7087" w:type="dxa"/>
            <w:tcBorders>
              <w:top w:val="single" w:sz="2" w:space="0" w:color="58595B"/>
              <w:left w:val="single" w:sz="2" w:space="0" w:color="58595B"/>
              <w:bottom w:val="single" w:sz="2" w:space="0" w:color="6D6E71"/>
              <w:right w:val="single" w:sz="2" w:space="0" w:color="58595B"/>
            </w:tcBorders>
            <w:shd w:val="clear" w:color="auto" w:fill="806000" w:themeFill="accent4" w:themeFillShade="80"/>
          </w:tcPr>
          <w:p w14:paraId="683C5EAB" w14:textId="628802FA" w:rsidR="003D33EB" w:rsidRPr="002C0F0A" w:rsidRDefault="003D33EB" w:rsidP="002C0F0A">
            <w:pPr>
              <w:adjustRightInd w:val="0"/>
              <w:ind w:leftChars="-50" w:left="-105" w:rightChars="-50" w:right="-105"/>
              <w:jc w:val="center"/>
              <w:rPr>
                <w:rFonts w:ascii="ＭＳ ゴシック" w:eastAsia="ＭＳ ゴシック" w:hAnsi="ＭＳ ゴシック" w:cs="Adobe Song Std L"/>
                <w:szCs w:val="21"/>
              </w:rPr>
            </w:pPr>
            <w:r w:rsidRPr="002C0F0A">
              <w:rPr>
                <w:rFonts w:ascii="ＭＳ ゴシック" w:eastAsia="ＭＳ ゴシック" w:hAnsi="ＭＳ ゴシック" w:cs="Adobe Song Std L"/>
                <w:color w:val="FFFFFF"/>
                <w:spacing w:val="16"/>
                <w:w w:val="103"/>
                <w:szCs w:val="21"/>
              </w:rPr>
              <w:t>内容の特</w:t>
            </w:r>
            <w:r w:rsidRPr="002C0F0A">
              <w:rPr>
                <w:rFonts w:ascii="ＭＳ ゴシック" w:eastAsia="ＭＳ ゴシック" w:hAnsi="ＭＳ ゴシック" w:cs="Adobe Song Std L"/>
                <w:color w:val="FFFFFF"/>
                <w:w w:val="103"/>
                <w:szCs w:val="21"/>
              </w:rPr>
              <w:t>色</w:t>
            </w:r>
          </w:p>
        </w:tc>
      </w:tr>
      <w:tr w:rsidR="003D33EB" w:rsidRPr="002C0F0A" w14:paraId="2EE08739" w14:textId="31805C25" w:rsidTr="003D33EB">
        <w:trPr>
          <w:cantSplit/>
        </w:trPr>
        <w:tc>
          <w:tcPr>
            <w:tcW w:w="567" w:type="dxa"/>
            <w:tcBorders>
              <w:top w:val="single" w:sz="2" w:space="0" w:color="6D6E71"/>
              <w:left w:val="single" w:sz="2" w:space="0" w:color="6D6E71"/>
              <w:bottom w:val="single" w:sz="2" w:space="0" w:color="6D6E71"/>
              <w:right w:val="single" w:sz="2" w:space="0" w:color="6D6E71"/>
            </w:tcBorders>
            <w:textDirection w:val="tbRlV"/>
            <w:vAlign w:val="center"/>
          </w:tcPr>
          <w:p w14:paraId="58C4ACF6" w14:textId="77777777" w:rsidR="003D33EB" w:rsidRPr="002C0F0A" w:rsidRDefault="003D33EB" w:rsidP="00DA0F64">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内容の選択・程度</w:t>
            </w:r>
          </w:p>
        </w:tc>
        <w:tc>
          <w:tcPr>
            <w:tcW w:w="3116" w:type="dxa"/>
            <w:tcBorders>
              <w:top w:val="single" w:sz="2" w:space="0" w:color="6D6E71"/>
              <w:left w:val="single" w:sz="2" w:space="0" w:color="6D6E71"/>
              <w:bottom w:val="single" w:sz="2" w:space="0" w:color="6D6E71"/>
              <w:right w:val="single" w:sz="2" w:space="0" w:color="6D6E71"/>
            </w:tcBorders>
          </w:tcPr>
          <w:p w14:paraId="0C2C31C9" w14:textId="38D2E418"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＊学習指導要領の教科の目標を達成するため必要な教材が適切に用意されているか。</w:t>
            </w:r>
          </w:p>
          <w:p w14:paraId="167EAC63" w14:textId="0D85340E"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＊基礎的・基本的事項の理解や習得のため適切な配慮がなされているか。</w:t>
            </w:r>
          </w:p>
          <w:p w14:paraId="14A80691" w14:textId="4A2AAD90"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＊発展的な学習内容の取り扱いに対する適切な配慮がなされているか。</w:t>
            </w:r>
          </w:p>
        </w:tc>
        <w:tc>
          <w:tcPr>
            <w:tcW w:w="7087" w:type="dxa"/>
            <w:tcBorders>
              <w:top w:val="single" w:sz="2" w:space="0" w:color="6D6E71"/>
              <w:left w:val="single" w:sz="2" w:space="0" w:color="6D6E71"/>
              <w:bottom w:val="single" w:sz="2" w:space="0" w:color="6D6E71"/>
              <w:right w:val="single" w:sz="2" w:space="0" w:color="6D6E71"/>
            </w:tcBorders>
          </w:tcPr>
          <w:p w14:paraId="48EC5F61" w14:textId="77777777" w:rsidR="000722E7" w:rsidRPr="000722E7" w:rsidRDefault="000722E7" w:rsidP="000722E7">
            <w:pPr>
              <w:ind w:left="210" w:hangingChars="100" w:hanging="210"/>
              <w:rPr>
                <w:rFonts w:ascii="ＭＳ 明朝" w:eastAsia="ＭＳ 明朝" w:hAnsi="ＭＳ 明朝" w:cs="Adobe Song Std L"/>
                <w:szCs w:val="21"/>
              </w:rPr>
            </w:pPr>
            <w:r w:rsidRPr="000722E7">
              <w:rPr>
                <w:rFonts w:ascii="ＭＳ 明朝" w:eastAsia="ＭＳ 明朝" w:hAnsi="ＭＳ 明朝" w:cs="Adobe Song Std L" w:hint="eastAsia"/>
                <w:szCs w:val="21"/>
              </w:rPr>
              <w:t>●基礎的・基本的な事項がコンパクトに網羅されている。また，丁寧な記述とスモールステップな問題配列で，スムーズに授業が展開できるように工夫して編集されている。</w:t>
            </w:r>
          </w:p>
          <w:p w14:paraId="2F13F9C9" w14:textId="77777777" w:rsidR="000722E7" w:rsidRPr="000722E7" w:rsidRDefault="000722E7" w:rsidP="000722E7">
            <w:pPr>
              <w:ind w:left="210" w:hangingChars="100" w:hanging="210"/>
              <w:rPr>
                <w:rFonts w:ascii="ＭＳ 明朝" w:eastAsia="ＭＳ 明朝" w:hAnsi="ＭＳ 明朝" w:cs="Adobe Song Std L"/>
                <w:szCs w:val="21"/>
              </w:rPr>
            </w:pPr>
            <w:r w:rsidRPr="000722E7">
              <w:rPr>
                <w:rFonts w:ascii="ＭＳ 明朝" w:eastAsia="ＭＳ 明朝" w:hAnsi="ＭＳ 明朝" w:cs="Adobe Song Std L" w:hint="eastAsia"/>
                <w:szCs w:val="21"/>
              </w:rPr>
              <w:t>●数学Ⅱ「1章　方程式・式と証明」では，数学Ⅰの内容と関連する「多項式の乗法・除法と分数式」と「2次方程式」が章の前半に配列されており，数学Ⅰの学習から滑らかにつながるよう配慮されている。（p.6～36）</w:t>
            </w:r>
          </w:p>
          <w:p w14:paraId="2C625CED" w14:textId="77777777" w:rsidR="000722E7" w:rsidRPr="000722E7" w:rsidRDefault="000722E7" w:rsidP="000722E7">
            <w:pPr>
              <w:ind w:left="210" w:hangingChars="100" w:hanging="210"/>
              <w:rPr>
                <w:rFonts w:ascii="ＭＳ 明朝" w:eastAsia="ＭＳ 明朝" w:hAnsi="ＭＳ 明朝" w:cs="Adobe Song Std L"/>
                <w:szCs w:val="21"/>
              </w:rPr>
            </w:pPr>
            <w:r w:rsidRPr="000722E7">
              <w:rPr>
                <w:rFonts w:ascii="ＭＳ 明朝" w:eastAsia="ＭＳ 明朝" w:hAnsi="ＭＳ 明朝" w:cs="Adobe Song Std L" w:hint="eastAsia"/>
                <w:szCs w:val="21"/>
              </w:rPr>
              <w:t>●数学Ⅱ「2章　図形と方程式」では，対応するデジタルコンテンツが多数あり，定数と図形の変化を連続的に捉えたり，軌跡の動的なイメージをつかんだりすることができるよう配慮されている。</w:t>
            </w:r>
          </w:p>
          <w:p w14:paraId="5493BFD2" w14:textId="0DD90841" w:rsidR="000722E7" w:rsidRPr="000722E7" w:rsidRDefault="000722E7" w:rsidP="000722E7">
            <w:pPr>
              <w:ind w:left="210" w:hangingChars="100" w:hanging="210"/>
              <w:rPr>
                <w:rFonts w:ascii="ＭＳ 明朝" w:eastAsia="ＭＳ 明朝" w:hAnsi="ＭＳ 明朝" w:cs="Adobe Song Std L"/>
                <w:szCs w:val="21"/>
              </w:rPr>
            </w:pPr>
            <w:r w:rsidRPr="000722E7">
              <w:rPr>
                <w:rFonts w:ascii="ＭＳ 明朝" w:eastAsia="ＭＳ 明朝" w:hAnsi="ＭＳ 明朝" w:cs="Adobe Song Std L" w:hint="eastAsia"/>
                <w:szCs w:val="21"/>
              </w:rPr>
              <w:t>（</w:t>
            </w:r>
            <w:r w:rsidRPr="000722E7">
              <w:rPr>
                <w:rFonts w:ascii="ＭＳ 明朝" w:eastAsia="ＭＳ 明朝" w:hAnsi="ＭＳ 明朝" w:cs="Adobe Song Std L" w:hint="eastAsia"/>
                <w:w w:val="98"/>
                <w:szCs w:val="21"/>
              </w:rPr>
              <w:t>p.72,73,78,83,85,88,90,91,94,96,97,98,99,101,102,103,106,108,112</w:t>
            </w:r>
            <w:r w:rsidRPr="000722E7">
              <w:rPr>
                <w:rFonts w:ascii="ＭＳ 明朝" w:eastAsia="ＭＳ 明朝" w:hAnsi="ＭＳ 明朝" w:cs="Adobe Song Std L" w:hint="eastAsia"/>
                <w:szCs w:val="21"/>
              </w:rPr>
              <w:t>）</w:t>
            </w:r>
          </w:p>
          <w:p w14:paraId="4332BF52" w14:textId="02E1DB3F" w:rsidR="000722E7" w:rsidRPr="000722E7" w:rsidRDefault="000722E7" w:rsidP="000722E7">
            <w:pPr>
              <w:ind w:left="210" w:hangingChars="100" w:hanging="210"/>
              <w:rPr>
                <w:rFonts w:ascii="ＭＳ 明朝" w:eastAsia="ＭＳ 明朝" w:hAnsi="ＭＳ 明朝" w:cs="Adobe Song Std L"/>
                <w:szCs w:val="21"/>
              </w:rPr>
            </w:pPr>
            <w:r w:rsidRPr="000722E7">
              <w:rPr>
                <w:rFonts w:ascii="ＭＳ 明朝" w:eastAsia="ＭＳ 明朝" w:hAnsi="ＭＳ 明朝" w:cs="Adobe Song Std L" w:hint="eastAsia"/>
                <w:szCs w:val="21"/>
              </w:rPr>
              <w:t>●数学Ⅱ「3章　三角関数」では，導入や問題解決の場面において，積極的に日常の事象を取り上げられており，本章の学習を日常生活や社会の事象の考察に生かせるよう配慮されている。（p.114,136,156）</w:t>
            </w:r>
          </w:p>
          <w:p w14:paraId="0CE27313" w14:textId="77777777" w:rsidR="000722E7" w:rsidRPr="000722E7" w:rsidRDefault="000722E7" w:rsidP="000722E7">
            <w:pPr>
              <w:ind w:left="210" w:hangingChars="100" w:hanging="210"/>
              <w:rPr>
                <w:rFonts w:ascii="ＭＳ 明朝" w:eastAsia="ＭＳ 明朝" w:hAnsi="ＭＳ 明朝" w:cs="Adobe Song Std L"/>
                <w:szCs w:val="21"/>
              </w:rPr>
            </w:pPr>
            <w:r w:rsidRPr="000722E7">
              <w:rPr>
                <w:rFonts w:ascii="ＭＳ 明朝" w:eastAsia="ＭＳ 明朝" w:hAnsi="ＭＳ 明朝" w:cs="Adobe Song Std L" w:hint="eastAsia"/>
                <w:szCs w:val="21"/>
              </w:rPr>
              <w:t>●数学Ⅱ「4章　指数関数・対数関数」では，対数関数のグラフの学習の後に，指数関数と対数関数を振り返って考察する場面が設けられており，指数と対数を相互に関連付けることができるように工夫されている。（p.176～178）</w:t>
            </w:r>
          </w:p>
          <w:p w14:paraId="666561EA" w14:textId="77777777" w:rsidR="000722E7" w:rsidRPr="000722E7" w:rsidRDefault="000722E7" w:rsidP="000722E7">
            <w:pPr>
              <w:ind w:left="210" w:hangingChars="100" w:hanging="210"/>
              <w:rPr>
                <w:rFonts w:ascii="ＭＳ 明朝" w:eastAsia="ＭＳ 明朝" w:hAnsi="ＭＳ 明朝" w:cs="Adobe Song Std L"/>
                <w:szCs w:val="21"/>
              </w:rPr>
            </w:pPr>
            <w:r w:rsidRPr="000722E7">
              <w:rPr>
                <w:rFonts w:ascii="ＭＳ 明朝" w:eastAsia="ＭＳ 明朝" w:hAnsi="ＭＳ 明朝" w:cs="Adobe Song Std L" w:hint="eastAsia"/>
                <w:szCs w:val="21"/>
              </w:rPr>
              <w:t>●数学Ⅱ「5章　微分と積分」では，もとの関数のグラフとその導関数のグラフを振り返って考察しており，導関数の理解を深め，導関数の有用性を理解できるように工夫されている。（p.211,218）</w:t>
            </w:r>
          </w:p>
          <w:p w14:paraId="5311D8EE" w14:textId="77777777" w:rsidR="000722E7" w:rsidRPr="00DA0F64" w:rsidRDefault="000722E7" w:rsidP="000722E7">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課題学習として，学習内容を数学的に探究させる内容や，学習内容を日常や社会の事象に活用させる内容（「探究」）が多数取り上げられており，生徒の興味・関心を高める数学的活動を重視した課題が扱われている。</w:t>
            </w:r>
          </w:p>
          <w:p w14:paraId="25E720C2" w14:textId="35ACDFD3" w:rsidR="003D33EB" w:rsidRPr="00DA0F64" w:rsidRDefault="000722E7" w:rsidP="000722E7">
            <w:pPr>
              <w:ind w:left="210" w:hangingChars="100" w:hanging="210"/>
              <w:rPr>
                <w:rFonts w:ascii="ＭＳ 明朝" w:eastAsia="ＭＳ 明朝" w:hAnsi="ＭＳ 明朝" w:cs="Adobe Song Std L"/>
                <w:szCs w:val="21"/>
              </w:rPr>
            </w:pPr>
            <w:r w:rsidRPr="000722E7">
              <w:rPr>
                <w:rFonts w:ascii="ＭＳ 明朝" w:eastAsia="ＭＳ 明朝" w:hAnsi="ＭＳ 明朝" w:cs="Adobe Song Std L" w:hint="eastAsia"/>
                <w:szCs w:val="21"/>
              </w:rPr>
              <w:t>●「発展的な学習内容」は，関連する内容と同じ章に掲載されていて，生徒や学校の実態に応じて無理なく扱えるよう工夫されている。</w:t>
            </w:r>
          </w:p>
        </w:tc>
      </w:tr>
      <w:tr w:rsidR="003D33EB" w:rsidRPr="002C0F0A" w14:paraId="02D08B93" w14:textId="72477F84" w:rsidTr="003D33EB">
        <w:trPr>
          <w:cantSplit/>
        </w:trPr>
        <w:tc>
          <w:tcPr>
            <w:tcW w:w="567" w:type="dxa"/>
            <w:tcBorders>
              <w:top w:val="single" w:sz="2" w:space="0" w:color="6D6E71"/>
              <w:left w:val="single" w:sz="2" w:space="0" w:color="6D6E71"/>
              <w:bottom w:val="single" w:sz="2" w:space="0" w:color="6D6E71"/>
              <w:right w:val="single" w:sz="2" w:space="0" w:color="6D6E71"/>
            </w:tcBorders>
            <w:shd w:val="clear" w:color="auto" w:fill="F1F1F8"/>
            <w:textDirection w:val="tbRlV"/>
            <w:vAlign w:val="center"/>
          </w:tcPr>
          <w:p w14:paraId="667564E8" w14:textId="77777777" w:rsidR="003D33EB" w:rsidRPr="002C0F0A" w:rsidRDefault="003D33EB" w:rsidP="00DA0F64">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組織・配列・分量</w:t>
            </w:r>
          </w:p>
        </w:tc>
        <w:tc>
          <w:tcPr>
            <w:tcW w:w="3116" w:type="dxa"/>
            <w:tcBorders>
              <w:top w:val="single" w:sz="2" w:space="0" w:color="6D6E71"/>
              <w:left w:val="single" w:sz="2" w:space="0" w:color="6D6E71"/>
              <w:bottom w:val="single" w:sz="2" w:space="0" w:color="6D6E71"/>
              <w:right w:val="single" w:sz="2" w:space="0" w:color="6D6E71"/>
            </w:tcBorders>
            <w:shd w:val="clear" w:color="auto" w:fill="F1F1F8"/>
          </w:tcPr>
          <w:p w14:paraId="40ACF378" w14:textId="43C23156"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＊内容の組織・配列は，学習指導を有効に進められるように考慮されているか。</w:t>
            </w:r>
          </w:p>
          <w:p w14:paraId="46051E9B" w14:textId="0BEB8B49"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＊分量は学習指導を有効に進められるように考慮され，精選されているか。</w:t>
            </w:r>
          </w:p>
          <w:p w14:paraId="4D73FC3F" w14:textId="664B173B"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＊中高の接続に対する配慮がなされているか。</w:t>
            </w:r>
          </w:p>
          <w:p w14:paraId="75A0D1DA" w14:textId="69C7169C"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＊弾力的な取り扱いに対する配慮がなされているか。</w:t>
            </w:r>
          </w:p>
        </w:tc>
        <w:tc>
          <w:tcPr>
            <w:tcW w:w="7087" w:type="dxa"/>
            <w:tcBorders>
              <w:top w:val="single" w:sz="2" w:space="0" w:color="6D6E71"/>
              <w:left w:val="single" w:sz="2" w:space="0" w:color="6D6E71"/>
              <w:bottom w:val="single" w:sz="2" w:space="0" w:color="6D6E71"/>
              <w:right w:val="single" w:sz="2" w:space="0" w:color="6D6E71"/>
            </w:tcBorders>
            <w:shd w:val="clear" w:color="auto" w:fill="F1F1F8"/>
          </w:tcPr>
          <w:p w14:paraId="359F97A6" w14:textId="15BB5942"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●学習指導要領に示された「内容」と「内容の取扱い」に準拠していて，生徒の実態に即し</w:t>
            </w:r>
            <w:r w:rsidRPr="00DA0F64">
              <w:rPr>
                <w:rFonts w:ascii="ＭＳ 明朝" w:eastAsia="ＭＳ 明朝" w:hAnsi="ＭＳ 明朝" w:cs="Adobe Song Std L"/>
                <w:color w:val="000000" w:themeColor="text1"/>
                <w:szCs w:val="21"/>
              </w:rPr>
              <w:t>た</w:t>
            </w:r>
            <w:r w:rsidRPr="00DA0F64">
              <w:rPr>
                <w:rFonts w:ascii="ＭＳ 明朝" w:eastAsia="ＭＳ 明朝" w:hAnsi="ＭＳ 明朝" w:cs="Adobe Song Std L"/>
                <w:szCs w:val="21"/>
              </w:rPr>
              <w:t>必要かつ十分な内容が適切に組織・配列されている。</w:t>
            </w:r>
          </w:p>
          <w:p w14:paraId="46899418" w14:textId="4F5BF2BF"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●例・例題→問→問題（節末）→練習問題（章末）の順に，段階を追って一定レベルの問題が過不足なく取り上げられており，その分量も適切である。</w:t>
            </w:r>
          </w:p>
          <w:p w14:paraId="27033FED" w14:textId="157C64F4"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●本文の問の末尾に問題（節末）と練習問題（章末）へのリンクマークが付され，追加問題が扱いやすくなるように工夫されている。</w:t>
            </w:r>
          </w:p>
          <w:p w14:paraId="42B82D75" w14:textId="603996C4"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●課題学習は，節末や章末に掲載されており，生徒や学校の実態に応じた指導ができるように配慮されている。</w:t>
            </w:r>
          </w:p>
          <w:p w14:paraId="63FD2DBD" w14:textId="53982410" w:rsidR="003D33EB" w:rsidRPr="00DA0F64" w:rsidRDefault="003D33EB" w:rsidP="000722E7">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●巻末には，「</w:t>
            </w:r>
            <w:r w:rsidR="000410BF">
              <w:rPr>
                <w:rFonts w:ascii="ＭＳ 明朝" w:eastAsia="ＭＳ 明朝" w:hAnsi="ＭＳ 明朝" w:cs="Adobe Song Std L" w:hint="eastAsia"/>
                <w:szCs w:val="21"/>
              </w:rPr>
              <w:t>思考の戦略編</w:t>
            </w:r>
            <w:r w:rsidRPr="00DA0F64">
              <w:rPr>
                <w:rFonts w:ascii="ＭＳ 明朝" w:eastAsia="ＭＳ 明朝" w:hAnsi="ＭＳ 明朝" w:cs="Adobe Song Std L"/>
                <w:szCs w:val="21"/>
              </w:rPr>
              <w:t>」が設けられており，進んだ生徒への配慮もされている。</w:t>
            </w:r>
          </w:p>
        </w:tc>
      </w:tr>
      <w:tr w:rsidR="003D33EB" w:rsidRPr="002C0F0A" w14:paraId="0190FB83" w14:textId="134720AF" w:rsidTr="003D33EB">
        <w:trPr>
          <w:cantSplit/>
        </w:trPr>
        <w:tc>
          <w:tcPr>
            <w:tcW w:w="567" w:type="dxa"/>
            <w:tcBorders>
              <w:top w:val="single" w:sz="2" w:space="0" w:color="6D6E71"/>
              <w:left w:val="single" w:sz="2" w:space="0" w:color="6D6E71"/>
              <w:bottom w:val="single" w:sz="2" w:space="0" w:color="6D6E71"/>
              <w:right w:val="single" w:sz="2" w:space="0" w:color="6D6E71"/>
            </w:tcBorders>
            <w:tcMar>
              <w:left w:w="0" w:type="dxa"/>
              <w:right w:w="0" w:type="dxa"/>
            </w:tcMar>
            <w:textDirection w:val="tbRlV"/>
            <w:vAlign w:val="center"/>
          </w:tcPr>
          <w:p w14:paraId="251F7E8E" w14:textId="77777777" w:rsidR="003D33EB" w:rsidRDefault="003D33EB" w:rsidP="00DA0F64">
            <w:pPr>
              <w:adjustRightInd w:val="0"/>
              <w:snapToGrid w:val="0"/>
              <w:ind w:leftChars="300" w:left="630"/>
              <w:rPr>
                <w:rFonts w:ascii="ＭＳ Ｐゴシック" w:eastAsia="ＭＳ Ｐゴシック" w:hAnsi="ＭＳ Ｐゴシック" w:cs="Adobe Song Std L"/>
                <w:color w:val="231F20"/>
                <w:w w:val="101"/>
                <w:szCs w:val="21"/>
              </w:rPr>
            </w:pPr>
            <w:r w:rsidRPr="002C0F0A">
              <w:rPr>
                <w:rFonts w:ascii="ＭＳ Ｐゴシック" w:eastAsia="ＭＳ Ｐゴシック" w:hAnsi="ＭＳ Ｐゴシック" w:cs="Adobe Song Std L"/>
                <w:color w:val="231F20"/>
                <w:w w:val="101"/>
                <w:szCs w:val="21"/>
              </w:rPr>
              <w:lastRenderedPageBreak/>
              <w:t>表記・表現及び指導に対する</w:t>
            </w:r>
          </w:p>
          <w:p w14:paraId="158726B3" w14:textId="156D81F6" w:rsidR="003D33EB" w:rsidRPr="002C0F0A" w:rsidRDefault="003D33EB" w:rsidP="00DA0F64">
            <w:pPr>
              <w:adjustRightInd w:val="0"/>
              <w:snapToGrid w:val="0"/>
              <w:ind w:leftChars="300" w:left="630"/>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工夫や配慮</w:t>
            </w:r>
          </w:p>
        </w:tc>
        <w:tc>
          <w:tcPr>
            <w:tcW w:w="3116" w:type="dxa"/>
            <w:tcBorders>
              <w:top w:val="single" w:sz="2" w:space="0" w:color="6D6E71"/>
              <w:left w:val="single" w:sz="2" w:space="0" w:color="6D6E71"/>
              <w:bottom w:val="single" w:sz="2" w:space="0" w:color="6D6E71"/>
              <w:right w:val="single" w:sz="2" w:space="0" w:color="6D6E71"/>
            </w:tcBorders>
          </w:tcPr>
          <w:p w14:paraId="7CE45F84" w14:textId="46FE6C8C"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＊学習意欲を高めるための配慮がなされているか。</w:t>
            </w:r>
          </w:p>
          <w:p w14:paraId="60314E87" w14:textId="29971C77"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＊用語・記号の取り上げ方や記述のしかたは適切か。</w:t>
            </w:r>
          </w:p>
          <w:p w14:paraId="5E9E6962" w14:textId="252BC066"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＊生徒の自学自習への配慮や工夫がなされているか。</w:t>
            </w:r>
          </w:p>
          <w:p w14:paraId="7E3DB45B" w14:textId="1A80C141"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＊指導書や周辺教材での工夫や配慮がなされているか。</w:t>
            </w:r>
          </w:p>
        </w:tc>
        <w:tc>
          <w:tcPr>
            <w:tcW w:w="7087" w:type="dxa"/>
            <w:tcBorders>
              <w:top w:val="single" w:sz="2" w:space="0" w:color="6D6E71"/>
              <w:left w:val="single" w:sz="2" w:space="0" w:color="6D6E71"/>
              <w:bottom w:val="single" w:sz="2" w:space="0" w:color="6D6E71"/>
              <w:right w:val="single" w:sz="2" w:space="0" w:color="6D6E71"/>
            </w:tcBorders>
          </w:tcPr>
          <w:p w14:paraId="203D0C82" w14:textId="588296EE"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●全編を通して本文の理解を助けるように，イラスト，写真，図が適切に用いられている。</w:t>
            </w:r>
          </w:p>
          <w:p w14:paraId="61159E08" w14:textId="77777777"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●必要に応じて色を使い，視覚的な内容理解ができるよう配慮されている。</w:t>
            </w:r>
          </w:p>
          <w:p w14:paraId="155C8BB3" w14:textId="77777777"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●用語・記号は統一されており，記述の仕方も適切である。</w:t>
            </w:r>
          </w:p>
          <w:p w14:paraId="1A680FFF" w14:textId="64427386"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●ICT機器を利用すると効果的な箇所に</w:t>
            </w:r>
            <w:r w:rsidR="000410BF">
              <w:rPr>
                <w:rFonts w:ascii="ＭＳ 明朝" w:eastAsia="ＭＳ 明朝" w:hAnsi="ＭＳ 明朝" w:cs="Adobe Song Std L" w:hint="eastAsia"/>
                <w:szCs w:val="21"/>
              </w:rPr>
              <w:t>QR</w:t>
            </w:r>
            <w:r w:rsidRPr="00DA0F64">
              <w:rPr>
                <w:rFonts w:ascii="ＭＳ 明朝" w:eastAsia="ＭＳ 明朝" w:hAnsi="ＭＳ 明朝" w:cs="Adobe Song Std L"/>
                <w:szCs w:val="21"/>
              </w:rPr>
              <w:t>コンテンツが用意されており，生徒が柔軟に学習を進めることができるよう配慮されている。</w:t>
            </w:r>
          </w:p>
          <w:p w14:paraId="253A656E" w14:textId="1F586DB6"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●章の扉では，章の学習内容</w:t>
            </w:r>
            <w:r w:rsidR="000410BF">
              <w:rPr>
                <w:rFonts w:ascii="ＭＳ 明朝" w:eastAsia="ＭＳ 明朝" w:hAnsi="ＭＳ 明朝" w:cs="Adobe Song Std L" w:hint="eastAsia"/>
                <w:szCs w:val="21"/>
              </w:rPr>
              <w:t>と関わりの深い数学者を取り上げ，その数学者の言葉を紹介し，数学の発展してきた様子を学べる</w:t>
            </w:r>
            <w:r w:rsidRPr="00DA0F64">
              <w:rPr>
                <w:rFonts w:ascii="ＭＳ 明朝" w:eastAsia="ＭＳ 明朝" w:hAnsi="ＭＳ 明朝" w:cs="Adobe Song Std L"/>
                <w:szCs w:val="21"/>
              </w:rPr>
              <w:t>よう工夫されている。</w:t>
            </w:r>
          </w:p>
          <w:p w14:paraId="4C5204DA" w14:textId="45DDF1FA"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●教科書を支援する指導書や周辺教材などが充実しており，指導しやすい教科書である。</w:t>
            </w:r>
          </w:p>
        </w:tc>
      </w:tr>
      <w:tr w:rsidR="003D33EB" w:rsidRPr="002C0F0A" w14:paraId="7813244F" w14:textId="4606CFD1" w:rsidTr="003D33EB">
        <w:trPr>
          <w:cantSplit/>
        </w:trPr>
        <w:tc>
          <w:tcPr>
            <w:tcW w:w="567" w:type="dxa"/>
            <w:tcBorders>
              <w:top w:val="single" w:sz="2" w:space="0" w:color="6D6E71"/>
              <w:left w:val="single" w:sz="2" w:space="0" w:color="6D6E71"/>
              <w:bottom w:val="single" w:sz="2" w:space="0" w:color="6D6E71"/>
              <w:right w:val="single" w:sz="2" w:space="0" w:color="6D6E71"/>
            </w:tcBorders>
            <w:shd w:val="clear" w:color="auto" w:fill="F1F1F8"/>
            <w:textDirection w:val="tbRlV"/>
            <w:vAlign w:val="center"/>
          </w:tcPr>
          <w:p w14:paraId="320D7BAD" w14:textId="775F5E0C" w:rsidR="003D33EB" w:rsidRPr="002C0F0A" w:rsidRDefault="003D33EB" w:rsidP="00DA0F64">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印刷・造本上の</w:t>
            </w:r>
            <w:r>
              <w:rPr>
                <w:rFonts w:ascii="ＭＳ Ｐゴシック" w:eastAsia="ＭＳ Ｐゴシック" w:hAnsi="ＭＳ Ｐゴシック" w:cs="Adobe Song Std L" w:hint="eastAsia"/>
                <w:color w:val="231F20"/>
                <w:w w:val="101"/>
                <w:szCs w:val="21"/>
              </w:rPr>
              <w:t>配慮</w:t>
            </w:r>
          </w:p>
        </w:tc>
        <w:tc>
          <w:tcPr>
            <w:tcW w:w="3116" w:type="dxa"/>
            <w:tcBorders>
              <w:top w:val="single" w:sz="2" w:space="0" w:color="6D6E71"/>
              <w:left w:val="single" w:sz="2" w:space="0" w:color="6D6E71"/>
              <w:bottom w:val="single" w:sz="2" w:space="0" w:color="6D6E71"/>
              <w:right w:val="single" w:sz="2" w:space="0" w:color="6D6E71"/>
            </w:tcBorders>
            <w:shd w:val="clear" w:color="auto" w:fill="F1F1F8"/>
          </w:tcPr>
          <w:p w14:paraId="4A4E6055" w14:textId="6E98D604"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＊印刷の鮮明さ，活字の大きさ，行間，製本などは適切か。</w:t>
            </w:r>
          </w:p>
          <w:p w14:paraId="3BD282F8" w14:textId="78575242"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＊環境保全や生徒の多様な特性に配慮がなされているか。</w:t>
            </w:r>
          </w:p>
        </w:tc>
        <w:tc>
          <w:tcPr>
            <w:tcW w:w="7087" w:type="dxa"/>
            <w:tcBorders>
              <w:top w:val="single" w:sz="2" w:space="0" w:color="6D6E71"/>
              <w:left w:val="single" w:sz="2" w:space="0" w:color="6D6E71"/>
              <w:bottom w:val="single" w:sz="2" w:space="0" w:color="6D6E71"/>
              <w:right w:val="single" w:sz="2" w:space="0" w:color="6D6E71"/>
            </w:tcBorders>
            <w:shd w:val="clear" w:color="auto" w:fill="F1F1F8"/>
          </w:tcPr>
          <w:p w14:paraId="15F73D69" w14:textId="77777777"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●活字はユニバーサルデザインで美しく，写真，挿し絵も鮮明で効果的である。</w:t>
            </w:r>
          </w:p>
          <w:p w14:paraId="48FBAC67" w14:textId="77777777"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●製本は堅牢で，開きやすい様式である。</w:t>
            </w:r>
          </w:p>
          <w:p w14:paraId="7A11BB4A" w14:textId="78AC7F98"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●図やグラフの色使いなど，色覚特性への配慮を含むユニバーサルデザインとなっており，全ページにわたって配色を工夫するなど，だれもが見やすい紙面になっている。</w:t>
            </w:r>
          </w:p>
          <w:p w14:paraId="154AF7DA" w14:textId="213D9E88"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●本文の用紙には再生紙と植物油インキを使用し，印刷業界団体が定めた環境配慮基準を満たす「グリーンプリンティング認定工場」で印刷するなど，地球環境や資源に及ぼす影響も考慮されている。</w:t>
            </w:r>
          </w:p>
        </w:tc>
      </w:tr>
      <w:tr w:rsidR="003D33EB" w:rsidRPr="002C0F0A" w14:paraId="558625F4" w14:textId="7A170A24" w:rsidTr="003D33EB">
        <w:trPr>
          <w:cantSplit/>
        </w:trPr>
        <w:tc>
          <w:tcPr>
            <w:tcW w:w="567" w:type="dxa"/>
            <w:tcBorders>
              <w:top w:val="single" w:sz="2" w:space="0" w:color="6D6E71"/>
              <w:left w:val="single" w:sz="2" w:space="0" w:color="6D6E71"/>
              <w:bottom w:val="single" w:sz="2" w:space="0" w:color="6D6E71"/>
              <w:right w:val="single" w:sz="2" w:space="0" w:color="6D6E71"/>
            </w:tcBorders>
            <w:textDirection w:val="tbRlV"/>
            <w:vAlign w:val="center"/>
          </w:tcPr>
          <w:p w14:paraId="652A6D65" w14:textId="77777777" w:rsidR="003D33EB" w:rsidRPr="002C0F0A" w:rsidRDefault="003D33EB" w:rsidP="00DA0F64">
            <w:pPr>
              <w:adjustRightInd w:val="0"/>
              <w:snapToGrid w:val="0"/>
              <w:jc w:val="center"/>
              <w:rPr>
                <w:rFonts w:ascii="ＭＳ Ｐゴシック" w:eastAsia="ＭＳ Ｐゴシック" w:hAnsi="ＭＳ Ｐゴシック" w:cs="Adobe Song Std L"/>
                <w:szCs w:val="21"/>
              </w:rPr>
            </w:pPr>
            <w:r w:rsidRPr="002C0F0A">
              <w:rPr>
                <w:rFonts w:ascii="ＭＳ Ｐゴシック" w:eastAsia="ＭＳ Ｐゴシック" w:hAnsi="ＭＳ Ｐゴシック" w:cs="Adobe Song Std L"/>
                <w:color w:val="231F20"/>
                <w:w w:val="101"/>
                <w:szCs w:val="21"/>
              </w:rPr>
              <w:t>総合所見</w:t>
            </w:r>
          </w:p>
        </w:tc>
        <w:tc>
          <w:tcPr>
            <w:tcW w:w="3116" w:type="dxa"/>
            <w:tcBorders>
              <w:top w:val="single" w:sz="2" w:space="0" w:color="6D6E71"/>
              <w:left w:val="single" w:sz="2" w:space="0" w:color="6D6E71"/>
              <w:bottom w:val="single" w:sz="2" w:space="0" w:color="6D6E71"/>
              <w:right w:val="single" w:sz="2" w:space="0" w:color="6D6E71"/>
            </w:tcBorders>
          </w:tcPr>
          <w:p w14:paraId="27B398C1" w14:textId="53F79196"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＊上記観点から見た，全体的・総合的な当教科書の特徴</w:t>
            </w:r>
          </w:p>
        </w:tc>
        <w:tc>
          <w:tcPr>
            <w:tcW w:w="7087" w:type="dxa"/>
            <w:tcBorders>
              <w:top w:val="single" w:sz="2" w:space="0" w:color="6D6E71"/>
              <w:left w:val="single" w:sz="2" w:space="0" w:color="6D6E71"/>
              <w:bottom w:val="single" w:sz="2" w:space="0" w:color="6D6E71"/>
              <w:right w:val="single" w:sz="2" w:space="0" w:color="6D6E71"/>
            </w:tcBorders>
          </w:tcPr>
          <w:p w14:paraId="2FF7EE85" w14:textId="156F7804" w:rsidR="003D33EB" w:rsidRPr="00DA0F64" w:rsidRDefault="003D33EB" w:rsidP="002C0F0A">
            <w:pPr>
              <w:ind w:left="210" w:hangingChars="100" w:hanging="210"/>
              <w:rPr>
                <w:rFonts w:ascii="ＭＳ 明朝" w:eastAsia="ＭＳ 明朝" w:hAnsi="ＭＳ 明朝" w:cs="Adobe Song Std L"/>
                <w:szCs w:val="21"/>
              </w:rPr>
            </w:pPr>
            <w:r w:rsidRPr="00DA0F64">
              <w:rPr>
                <w:rFonts w:ascii="ＭＳ 明朝" w:eastAsia="ＭＳ 明朝" w:hAnsi="ＭＳ 明朝" w:cs="Adobe Song Std L"/>
                <w:szCs w:val="21"/>
              </w:rPr>
              <w:t>●教科目標達成に必要な学習事項・定番問題がコンパクトに網羅されていること，学習内容を表す小見出しを多用した内容のまとまりのよさ，具体例からの導入，内容理解を高めるための図解・色を使った説明など，生徒および指導者にとって効率的に学習効果があげられるように編集された教科書である。また，数学の楽しさが体感できるようにも工夫されている。</w:t>
            </w:r>
          </w:p>
        </w:tc>
      </w:tr>
    </w:tbl>
    <w:p w14:paraId="04BFC992" w14:textId="1ED7D53B" w:rsidR="00D0453D" w:rsidRPr="003D33EB" w:rsidRDefault="003D33EB" w:rsidP="003D33EB">
      <w:pPr>
        <w:jc w:val="right"/>
        <w:rPr>
          <w:rFonts w:ascii="ＭＳ 明朝" w:eastAsia="ＭＳ 明朝" w:hAnsi="ＭＳ 明朝"/>
          <w:sz w:val="18"/>
          <w:szCs w:val="18"/>
        </w:rPr>
      </w:pPr>
      <w:r w:rsidRPr="003D33EB">
        <w:rPr>
          <w:rFonts w:ascii="ＭＳ 明朝" w:eastAsia="ＭＳ 明朝" w:hAnsi="ＭＳ 明朝" w:hint="eastAsia"/>
          <w:sz w:val="18"/>
          <w:szCs w:val="18"/>
        </w:rPr>
        <w:t>この資料は，一般社団法人教科書協会「教科書発行者行動規範」に</w:t>
      </w:r>
      <w:r w:rsidRPr="003D33EB">
        <w:rPr>
          <w:rFonts w:ascii="ＭＳ 明朝" w:eastAsia="ＭＳ 明朝" w:hAnsi="ＭＳ 明朝"/>
          <w:sz w:val="18"/>
          <w:szCs w:val="18"/>
        </w:rPr>
        <w:t>則っております。</w:t>
      </w:r>
    </w:p>
    <w:sectPr w:rsidR="00D0453D" w:rsidRPr="003D33EB" w:rsidSect="002C0F0A">
      <w:pgSz w:w="11906" w:h="16838"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3ECFE" w14:textId="77777777" w:rsidR="009955F3" w:rsidRDefault="009955F3" w:rsidP="00863C86">
      <w:r>
        <w:separator/>
      </w:r>
    </w:p>
  </w:endnote>
  <w:endnote w:type="continuationSeparator" w:id="0">
    <w:p w14:paraId="44F031A1" w14:textId="77777777" w:rsidR="009955F3" w:rsidRDefault="009955F3" w:rsidP="00863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OTF ゴシックMB101 Pro L">
    <w:altName w:val="A-OTF ゴシックMB101 Pro L"/>
    <w:panose1 w:val="00000000000000000000"/>
    <w:charset w:val="80"/>
    <w:family w:val="swiss"/>
    <w:notTrueType/>
    <w:pitch w:val="variable"/>
    <w:sig w:usb0="A00002FF" w:usb1="68C7FEFF" w:usb2="00000012" w:usb3="00000000" w:csb0="00020005" w:csb1="00000000"/>
  </w:font>
  <w:font w:name="Adobe Song Std L">
    <w:altName w:val="游ゴシック"/>
    <w:panose1 w:val="00000000000000000000"/>
    <w:charset w:val="80"/>
    <w:family w:val="roman"/>
    <w:notTrueType/>
    <w:pitch w:val="variable"/>
    <w:sig w:usb0="00000207" w:usb1="0A0F1810" w:usb2="00000016" w:usb3="00000000" w:csb0="00060007"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0D9C9" w14:textId="77777777" w:rsidR="009955F3" w:rsidRDefault="009955F3" w:rsidP="00863C86">
      <w:r>
        <w:separator/>
      </w:r>
    </w:p>
  </w:footnote>
  <w:footnote w:type="continuationSeparator" w:id="0">
    <w:p w14:paraId="2AF963B4" w14:textId="77777777" w:rsidR="009955F3" w:rsidRDefault="009955F3" w:rsidP="00863C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F0A"/>
    <w:rsid w:val="000004E1"/>
    <w:rsid w:val="00024544"/>
    <w:rsid w:val="000410BF"/>
    <w:rsid w:val="000722E7"/>
    <w:rsid w:val="001459A5"/>
    <w:rsid w:val="001A15D5"/>
    <w:rsid w:val="001E46FD"/>
    <w:rsid w:val="002C0F0A"/>
    <w:rsid w:val="0039767A"/>
    <w:rsid w:val="003D1E11"/>
    <w:rsid w:val="003D33EB"/>
    <w:rsid w:val="005617E3"/>
    <w:rsid w:val="0057346C"/>
    <w:rsid w:val="005A2176"/>
    <w:rsid w:val="005A3861"/>
    <w:rsid w:val="005F7943"/>
    <w:rsid w:val="006D7325"/>
    <w:rsid w:val="007B2E68"/>
    <w:rsid w:val="00863C86"/>
    <w:rsid w:val="0091114A"/>
    <w:rsid w:val="009955F3"/>
    <w:rsid w:val="00AA65DB"/>
    <w:rsid w:val="00D0453D"/>
    <w:rsid w:val="00DA0F64"/>
    <w:rsid w:val="00EA719B"/>
    <w:rsid w:val="00EF5D2B"/>
    <w:rsid w:val="00F61F45"/>
    <w:rsid w:val="00FC02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4ED260"/>
  <w15:chartTrackingRefBased/>
  <w15:docId w15:val="{57BAE198-2C58-49CD-B866-2EF0ADA2A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3C86"/>
    <w:pPr>
      <w:tabs>
        <w:tab w:val="center" w:pos="4252"/>
        <w:tab w:val="right" w:pos="8504"/>
      </w:tabs>
      <w:snapToGrid w:val="0"/>
    </w:pPr>
  </w:style>
  <w:style w:type="character" w:customStyle="1" w:styleId="a4">
    <w:name w:val="ヘッダー (文字)"/>
    <w:basedOn w:val="a0"/>
    <w:link w:val="a3"/>
    <w:uiPriority w:val="99"/>
    <w:rsid w:val="00863C86"/>
  </w:style>
  <w:style w:type="paragraph" w:styleId="a5">
    <w:name w:val="footer"/>
    <w:basedOn w:val="a"/>
    <w:link w:val="a6"/>
    <w:uiPriority w:val="99"/>
    <w:unhideWhenUsed/>
    <w:rsid w:val="00863C86"/>
    <w:pPr>
      <w:tabs>
        <w:tab w:val="center" w:pos="4252"/>
        <w:tab w:val="right" w:pos="8504"/>
      </w:tabs>
      <w:snapToGrid w:val="0"/>
    </w:pPr>
  </w:style>
  <w:style w:type="character" w:customStyle="1" w:styleId="a6">
    <w:name w:val="フッター (文字)"/>
    <w:basedOn w:val="a0"/>
    <w:link w:val="a5"/>
    <w:uiPriority w:val="99"/>
    <w:rsid w:val="00863C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349</Words>
  <Characters>1991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敬仁 名倉</cp:lastModifiedBy>
  <cp:revision>4</cp:revision>
  <dcterms:created xsi:type="dcterms:W3CDTF">2026-02-24T04:17:00Z</dcterms:created>
  <dcterms:modified xsi:type="dcterms:W3CDTF">2026-02-24T04:27:00Z</dcterms:modified>
</cp:coreProperties>
</file>