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AC434" w14:textId="77777777" w:rsidR="0028063F" w:rsidRPr="00B043BF" w:rsidRDefault="0028063F" w:rsidP="0028063F">
      <w:pPr>
        <w:jc w:val="center"/>
        <w:rPr>
          <w:rFonts w:ascii="ＭＳ ゴシック" w:eastAsia="ＭＳ ゴシック" w:hAnsi="ＭＳ ゴシック"/>
          <w:bCs/>
          <w:sz w:val="28"/>
          <w:szCs w:val="28"/>
          <w:bdr w:val="single" w:sz="4" w:space="0" w:color="auto"/>
        </w:rPr>
      </w:pPr>
      <w:r w:rsidRPr="00B043BF">
        <w:rPr>
          <w:rFonts w:ascii="ＭＳ ゴシック" w:eastAsia="ＭＳ ゴシック" w:hAnsi="ＭＳ ゴシック" w:hint="eastAsia"/>
          <w:bCs/>
          <w:sz w:val="28"/>
          <w:szCs w:val="28"/>
          <w:bdr w:val="single" w:sz="4" w:space="0" w:color="auto"/>
        </w:rPr>
        <w:t xml:space="preserve">　　　東京書籍教科書　検討の観点と内容の特色　　　</w:t>
      </w:r>
    </w:p>
    <w:p w14:paraId="5B05CFBD" w14:textId="77777777" w:rsidR="0028063F" w:rsidRPr="00F207A6" w:rsidRDefault="0028063F" w:rsidP="0028063F">
      <w:pPr>
        <w:jc w:val="left"/>
        <w:rPr>
          <w:rFonts w:ascii="ＭＳ ゴシック" w:eastAsia="ＭＳ ゴシック" w:hAnsi="ＭＳ ゴシック"/>
          <w:b/>
          <w:bCs/>
          <w:sz w:val="20"/>
          <w:szCs w:val="20"/>
          <w:bdr w:val="single" w:sz="4" w:space="0" w:color="auto"/>
        </w:rPr>
      </w:pPr>
    </w:p>
    <w:tbl>
      <w:tblPr>
        <w:tblW w:w="2125"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3"/>
        <w:gridCol w:w="2268"/>
        <w:gridCol w:w="850"/>
        <w:gridCol w:w="2268"/>
      </w:tblGrid>
      <w:tr w:rsidR="0028063F" w:rsidRPr="00F207A6" w14:paraId="4719915A" w14:textId="77777777" w:rsidTr="0028063F">
        <w:trPr>
          <w:trHeight w:val="300"/>
        </w:trPr>
        <w:tc>
          <w:tcPr>
            <w:tcW w:w="803" w:type="dxa"/>
            <w:vAlign w:val="center"/>
          </w:tcPr>
          <w:p w14:paraId="08FF5F21" w14:textId="77777777" w:rsidR="0028063F" w:rsidRPr="00F207A6" w:rsidRDefault="0028063F" w:rsidP="007725A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書名</w:t>
            </w:r>
          </w:p>
        </w:tc>
        <w:tc>
          <w:tcPr>
            <w:tcW w:w="2268" w:type="dxa"/>
            <w:vAlign w:val="center"/>
          </w:tcPr>
          <w:p w14:paraId="47F123D1" w14:textId="77777777" w:rsidR="0028063F" w:rsidRPr="00554463" w:rsidRDefault="0028063F" w:rsidP="007725AE">
            <w:pPr>
              <w:ind w:left="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政治・経済</w:t>
            </w:r>
          </w:p>
        </w:tc>
        <w:tc>
          <w:tcPr>
            <w:tcW w:w="850" w:type="dxa"/>
            <w:vAlign w:val="center"/>
          </w:tcPr>
          <w:p w14:paraId="08F7F6ED" w14:textId="77777777" w:rsidR="0028063F" w:rsidRPr="00F207A6" w:rsidRDefault="0028063F" w:rsidP="007725AE">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2268" w:type="dxa"/>
            <w:vAlign w:val="center"/>
          </w:tcPr>
          <w:p w14:paraId="2BC88816" w14:textId="7FF2C1B6" w:rsidR="0028063F" w:rsidRPr="00F207A6" w:rsidRDefault="0028063F" w:rsidP="0028063F">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東書・政経 </w:t>
            </w:r>
            <w:r w:rsidR="00C16D44">
              <w:rPr>
                <w:rFonts w:ascii="ＭＳ ゴシック" w:eastAsia="ＭＳ ゴシック" w:hAnsi="ＭＳ ゴシック" w:hint="eastAsia"/>
                <w:sz w:val="20"/>
                <w:szCs w:val="20"/>
              </w:rPr>
              <w:t>002-901</w:t>
            </w:r>
          </w:p>
        </w:tc>
      </w:tr>
    </w:tbl>
    <w:p w14:paraId="3AEA0FF9" w14:textId="77777777" w:rsidR="0028063F" w:rsidRPr="00F207A6" w:rsidRDefault="0028063F" w:rsidP="0028063F">
      <w:pPr>
        <w:autoSpaceDE w:val="0"/>
        <w:autoSpaceDN w:val="0"/>
        <w:ind w:right="420"/>
        <w:jc w:val="left"/>
        <w:rPr>
          <w:rFonts w:ascii="ＭＳ Ｐゴシック" w:eastAsia="ＭＳ Ｐゴシック" w:hAnsi="ＭＳ Ｐゴシック"/>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382"/>
        <w:gridCol w:w="3244"/>
        <w:gridCol w:w="9793"/>
      </w:tblGrid>
      <w:tr w:rsidR="0028063F" w:rsidRPr="00F207A6" w14:paraId="3AB8F7CD" w14:textId="77777777" w:rsidTr="00F226EC">
        <w:trPr>
          <w:tblHeader/>
        </w:trPr>
        <w:tc>
          <w:tcPr>
            <w:tcW w:w="1382" w:type="dxa"/>
            <w:vAlign w:val="center"/>
          </w:tcPr>
          <w:p w14:paraId="40739AF9" w14:textId="77777777" w:rsidR="0028063F" w:rsidRPr="00F207A6" w:rsidRDefault="0028063F" w:rsidP="007725AE">
            <w:pPr>
              <w:autoSpaceDE w:val="0"/>
              <w:autoSpaceDN w:val="0"/>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項　</w:t>
            </w:r>
            <w:r w:rsidRPr="00F207A6">
              <w:rPr>
                <w:rFonts w:ascii="ＭＳ Ｐゴシック" w:eastAsia="ＭＳ Ｐゴシック" w:hAnsi="ＭＳ Ｐゴシック" w:hint="eastAsia"/>
                <w:sz w:val="20"/>
                <w:szCs w:val="20"/>
              </w:rPr>
              <w:t>目</w:t>
            </w:r>
          </w:p>
        </w:tc>
        <w:tc>
          <w:tcPr>
            <w:tcW w:w="3244" w:type="dxa"/>
            <w:vAlign w:val="center"/>
          </w:tcPr>
          <w:p w14:paraId="2E0D224B" w14:textId="77777777" w:rsidR="0028063F" w:rsidRPr="00F207A6" w:rsidRDefault="0028063F" w:rsidP="007725AE">
            <w:pPr>
              <w:autoSpaceDE w:val="0"/>
              <w:autoSpaceDN w:val="0"/>
              <w:jc w:val="center"/>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観　点</w:t>
            </w:r>
          </w:p>
        </w:tc>
        <w:tc>
          <w:tcPr>
            <w:tcW w:w="9793" w:type="dxa"/>
            <w:vAlign w:val="center"/>
          </w:tcPr>
          <w:p w14:paraId="48E956EF" w14:textId="77777777" w:rsidR="0028063F" w:rsidRPr="00F207A6" w:rsidRDefault="0028063F" w:rsidP="007725AE">
            <w:pPr>
              <w:autoSpaceDE w:val="0"/>
              <w:autoSpaceDN w:val="0"/>
              <w:jc w:val="center"/>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内容の特色</w:t>
            </w:r>
          </w:p>
        </w:tc>
      </w:tr>
      <w:tr w:rsidR="00F226EC" w:rsidRPr="000F3935" w14:paraId="130EBA60" w14:textId="77777777" w:rsidTr="00F226EC">
        <w:trPr>
          <w:trHeight w:val="234"/>
        </w:trPr>
        <w:tc>
          <w:tcPr>
            <w:tcW w:w="1382" w:type="dxa"/>
          </w:tcPr>
          <w:p w14:paraId="6507394E" w14:textId="797231DD" w:rsidR="00F226EC" w:rsidRPr="000F3935" w:rsidRDefault="00F226EC" w:rsidP="00F226E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内容の選択・程度</w:t>
            </w:r>
          </w:p>
        </w:tc>
        <w:tc>
          <w:tcPr>
            <w:tcW w:w="3244" w:type="dxa"/>
          </w:tcPr>
          <w:p w14:paraId="08724B75" w14:textId="77777777" w:rsidR="00F226EC" w:rsidRPr="00C41B83" w:rsidRDefault="00F226EC" w:rsidP="00F226E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学習指導要領の教科の目標を達成するために必要な教材が適切に用意されているか。</w:t>
            </w:r>
          </w:p>
          <w:p w14:paraId="47E3DFE1" w14:textId="23C5815A" w:rsidR="00F226EC" w:rsidRPr="000F3935" w:rsidRDefault="00F226EC" w:rsidP="00F226E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基礎的・基本的事項の理解や習得のための適切な配慮がなされているか。</w:t>
            </w:r>
          </w:p>
        </w:tc>
        <w:tc>
          <w:tcPr>
            <w:tcW w:w="9793" w:type="dxa"/>
          </w:tcPr>
          <w:p w14:paraId="7D5393A7" w14:textId="77777777" w:rsidR="00F226EC" w:rsidRPr="00554463" w:rsidRDefault="00F226EC" w:rsidP="00F226EC">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Pr="00554463">
              <w:rPr>
                <w:rFonts w:ascii="ＭＳ 明朝" w:eastAsia="ＭＳ 明朝" w:hAnsi="ＭＳ 明朝" w:hint="eastAsia"/>
                <w:sz w:val="20"/>
                <w:szCs w:val="20"/>
              </w:rPr>
              <w:t>社会の在り方についての見方・考え方を働かせ</w:t>
            </w:r>
            <w:r>
              <w:rPr>
                <w:rFonts w:ascii="ＭＳ 明朝" w:eastAsia="ＭＳ 明朝" w:hAnsi="ＭＳ 明朝" w:hint="eastAsia"/>
                <w:sz w:val="20"/>
                <w:szCs w:val="20"/>
              </w:rPr>
              <w:t>、</w:t>
            </w:r>
            <w:r w:rsidRPr="00554463">
              <w:rPr>
                <w:rFonts w:ascii="ＭＳ 明朝" w:eastAsia="ＭＳ 明朝" w:hAnsi="ＭＳ 明朝" w:hint="eastAsia"/>
                <w:sz w:val="20"/>
                <w:szCs w:val="20"/>
              </w:rPr>
              <w:t>現代の諸課題を追究したり解決</w:t>
            </w:r>
            <w:r>
              <w:rPr>
                <w:rFonts w:ascii="ＭＳ 明朝" w:eastAsia="ＭＳ 明朝" w:hAnsi="ＭＳ 明朝" w:hint="eastAsia"/>
                <w:sz w:val="20"/>
                <w:szCs w:val="20"/>
              </w:rPr>
              <w:t>に向けて構想</w:t>
            </w:r>
            <w:r w:rsidRPr="00554463">
              <w:rPr>
                <w:rFonts w:ascii="ＭＳ 明朝" w:eastAsia="ＭＳ 明朝" w:hAnsi="ＭＳ 明朝" w:hint="eastAsia"/>
                <w:sz w:val="20"/>
                <w:szCs w:val="20"/>
              </w:rPr>
              <w:t>したりする活動を通して</w:t>
            </w:r>
            <w:r>
              <w:rPr>
                <w:rFonts w:ascii="ＭＳ 明朝" w:eastAsia="ＭＳ 明朝" w:hAnsi="ＭＳ 明朝" w:hint="eastAsia"/>
                <w:sz w:val="20"/>
                <w:szCs w:val="20"/>
              </w:rPr>
              <w:t>、広い視野に立ち、</w:t>
            </w:r>
            <w:r w:rsidRPr="00554463">
              <w:rPr>
                <w:rFonts w:ascii="ＭＳ 明朝" w:eastAsia="ＭＳ 明朝" w:hAnsi="ＭＳ 明朝" w:hint="eastAsia"/>
                <w:sz w:val="20"/>
                <w:szCs w:val="20"/>
              </w:rPr>
              <w:t>グローバル化する国際社会に主体的に生きる公民としての資質・能力を育成するための内容が適切に取り上げられている。</w:t>
            </w:r>
          </w:p>
          <w:p w14:paraId="0A545BE4" w14:textId="77777777" w:rsidR="00F226EC" w:rsidRPr="00554463" w:rsidRDefault="00F226EC" w:rsidP="00F226EC">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○学習指導要領に示された「内容」および「内容の取扱い」に準拠し</w:t>
            </w:r>
            <w:r>
              <w:rPr>
                <w:rFonts w:ascii="ＭＳ 明朝" w:eastAsia="ＭＳ 明朝" w:hAnsi="ＭＳ 明朝" w:hint="eastAsia"/>
                <w:sz w:val="20"/>
                <w:szCs w:val="20"/>
              </w:rPr>
              <w:t>、</w:t>
            </w:r>
            <w:r w:rsidRPr="00554463">
              <w:rPr>
                <w:rFonts w:ascii="ＭＳ 明朝" w:eastAsia="ＭＳ 明朝" w:hAnsi="ＭＳ 明朝" w:hint="eastAsia"/>
                <w:sz w:val="20"/>
                <w:szCs w:val="20"/>
              </w:rPr>
              <w:t>生徒の実態に即した必要かつ十分な内容が適切に組織・配列されている。</w:t>
            </w:r>
          </w:p>
          <w:p w14:paraId="6155F4CC" w14:textId="77777777" w:rsidR="00F226EC" w:rsidRDefault="00F226EC" w:rsidP="00F226EC">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〇現実社会の諸課題を探究</w:t>
            </w:r>
            <w:r w:rsidRPr="00554463">
              <w:rPr>
                <w:rFonts w:ascii="ＭＳ 明朝" w:eastAsia="ＭＳ 明朝" w:hAnsi="ＭＳ 明朝" w:hint="eastAsia"/>
                <w:sz w:val="20"/>
                <w:szCs w:val="20"/>
              </w:rPr>
              <w:t>するための基礎的・基本的な</w:t>
            </w:r>
            <w:r>
              <w:rPr>
                <w:rFonts w:ascii="ＭＳ 明朝" w:eastAsia="ＭＳ 明朝" w:hAnsi="ＭＳ 明朝" w:hint="eastAsia"/>
                <w:sz w:val="20"/>
                <w:szCs w:val="20"/>
              </w:rPr>
              <w:t>概念や理論</w:t>
            </w:r>
            <w:r w:rsidRPr="00554463">
              <w:rPr>
                <w:rFonts w:ascii="ＭＳ 明朝" w:eastAsia="ＭＳ 明朝" w:hAnsi="ＭＳ 明朝" w:hint="eastAsia"/>
                <w:sz w:val="20"/>
                <w:szCs w:val="20"/>
              </w:rPr>
              <w:t>がバランスよく取り上げられ</w:t>
            </w:r>
            <w:r>
              <w:rPr>
                <w:rFonts w:ascii="ＭＳ 明朝" w:eastAsia="ＭＳ 明朝" w:hAnsi="ＭＳ 明朝" w:hint="eastAsia"/>
                <w:sz w:val="20"/>
                <w:szCs w:val="20"/>
              </w:rPr>
              <w:t>、</w:t>
            </w:r>
            <w:r w:rsidRPr="00554463">
              <w:rPr>
                <w:rFonts w:ascii="ＭＳ 明朝" w:eastAsia="ＭＳ 明朝" w:hAnsi="ＭＳ 明朝" w:hint="eastAsia"/>
                <w:sz w:val="20"/>
                <w:szCs w:val="20"/>
              </w:rPr>
              <w:t>重要語句は本文の中で太字を使って示されている。</w:t>
            </w:r>
          </w:p>
          <w:p w14:paraId="04462BE6" w14:textId="399D0E13" w:rsidR="00F226EC" w:rsidRPr="000F3935" w:rsidRDefault="00F226EC" w:rsidP="00F226EC">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○需要曲線・供給曲線や国際収支表など学習のポイントとなる箇所には「レクチャー」のコーナーが設けられ、図表を用いて丁寧に解説されている。</w:t>
            </w:r>
          </w:p>
        </w:tc>
      </w:tr>
      <w:tr w:rsidR="00F226EC" w:rsidRPr="000F3935" w14:paraId="741A9BA5" w14:textId="77777777" w:rsidTr="00F226EC">
        <w:tc>
          <w:tcPr>
            <w:tcW w:w="1382" w:type="dxa"/>
          </w:tcPr>
          <w:p w14:paraId="3710A19C" w14:textId="67592266" w:rsidR="00F226EC" w:rsidRPr="000F3935" w:rsidRDefault="00F226EC" w:rsidP="00F226E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組織・配列・分量</w:t>
            </w:r>
          </w:p>
        </w:tc>
        <w:tc>
          <w:tcPr>
            <w:tcW w:w="3244" w:type="dxa"/>
          </w:tcPr>
          <w:p w14:paraId="752410DB" w14:textId="77777777" w:rsidR="00F226EC" w:rsidRPr="00C41B83" w:rsidRDefault="00F226EC" w:rsidP="00F226E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内容の組織・配列は</w:t>
            </w: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学習指導を有効に進められるように考慮されているか。</w:t>
            </w:r>
          </w:p>
          <w:p w14:paraId="03A7A450" w14:textId="77777777" w:rsidR="00F226EC" w:rsidRPr="00C41B83" w:rsidRDefault="00F226EC" w:rsidP="00F226E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分量は学習指導を有効に進められるように考慮され</w:t>
            </w: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精選されているか。</w:t>
            </w:r>
          </w:p>
          <w:p w14:paraId="51574330" w14:textId="77777777" w:rsidR="00F226EC" w:rsidRPr="00C41B83" w:rsidRDefault="00F226EC" w:rsidP="00F226E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＊中学校社会科や「公共」と</w:t>
            </w:r>
            <w:r w:rsidRPr="00C41B83">
              <w:rPr>
                <w:rFonts w:ascii="ＭＳ 明朝" w:eastAsia="ＭＳ 明朝" w:hAnsi="ＭＳ 明朝" w:hint="eastAsia"/>
                <w:color w:val="000000"/>
                <w:sz w:val="20"/>
                <w:szCs w:val="20"/>
              </w:rPr>
              <w:t>の接続に対する配慮がなされているか。</w:t>
            </w:r>
          </w:p>
          <w:p w14:paraId="1C5E3F1E" w14:textId="1BB97623" w:rsidR="00F226EC" w:rsidRPr="000F3935" w:rsidRDefault="00F226EC" w:rsidP="00F226E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弾力的な取り扱いに対する配慮がなされているか。</w:t>
            </w:r>
          </w:p>
        </w:tc>
        <w:tc>
          <w:tcPr>
            <w:tcW w:w="9793" w:type="dxa"/>
          </w:tcPr>
          <w:p w14:paraId="54CDBEA5" w14:textId="77777777" w:rsidR="00F226EC" w:rsidRPr="00554463" w:rsidRDefault="00F226EC" w:rsidP="00F226EC">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○全体を通して</w:t>
            </w:r>
            <w:r>
              <w:rPr>
                <w:rFonts w:ascii="ＭＳ 明朝" w:eastAsia="ＭＳ 明朝" w:hAnsi="ＭＳ 明朝" w:hint="eastAsia"/>
                <w:sz w:val="20"/>
                <w:szCs w:val="20"/>
              </w:rPr>
              <w:t>、</w:t>
            </w:r>
            <w:r w:rsidRPr="00554463">
              <w:rPr>
                <w:rFonts w:ascii="ＭＳ 明朝" w:eastAsia="ＭＳ 明朝" w:hAnsi="ＭＳ 明朝" w:hint="eastAsia"/>
                <w:sz w:val="20"/>
                <w:szCs w:val="20"/>
              </w:rPr>
              <w:t>組織・配列は学習指導要領に準じて系統的に構成されている</w:t>
            </w:r>
            <w:r>
              <w:rPr>
                <w:rFonts w:ascii="ＭＳ 明朝" w:eastAsia="ＭＳ 明朝" w:hAnsi="ＭＳ 明朝" w:hint="eastAsia"/>
                <w:sz w:val="20"/>
                <w:szCs w:val="20"/>
              </w:rPr>
              <w:t>。各編の第1章では政治分野、第2章では経済分野、第3章では課題探究学習が取り上げられており、</w:t>
            </w:r>
            <w:r w:rsidRPr="00554463">
              <w:rPr>
                <w:rFonts w:ascii="ＭＳ 明朝" w:eastAsia="ＭＳ 明朝" w:hAnsi="ＭＳ 明朝" w:hint="eastAsia"/>
                <w:sz w:val="20"/>
                <w:szCs w:val="20"/>
              </w:rPr>
              <w:t>現実社会の諸課題</w:t>
            </w:r>
            <w:r>
              <w:rPr>
                <w:rFonts w:ascii="ＭＳ 明朝" w:eastAsia="ＭＳ 明朝" w:hAnsi="ＭＳ 明朝" w:hint="eastAsia"/>
                <w:sz w:val="20"/>
                <w:szCs w:val="20"/>
              </w:rPr>
              <w:t>を探究</w:t>
            </w:r>
            <w:r w:rsidRPr="00554463">
              <w:rPr>
                <w:rFonts w:ascii="ＭＳ 明朝" w:eastAsia="ＭＳ 明朝" w:hAnsi="ＭＳ 明朝" w:hint="eastAsia"/>
                <w:sz w:val="20"/>
                <w:szCs w:val="20"/>
              </w:rPr>
              <w:t>する活動が有効に進められるように考慮されている。</w:t>
            </w:r>
          </w:p>
          <w:p w14:paraId="7417A4B8" w14:textId="77777777" w:rsidR="00F226EC" w:rsidRPr="00554463" w:rsidRDefault="00F226EC" w:rsidP="00F226EC">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w:t>
            </w:r>
            <w:r>
              <w:rPr>
                <w:rFonts w:ascii="ＭＳ 明朝" w:eastAsia="ＭＳ 明朝" w:hAnsi="ＭＳ 明朝" w:hint="eastAsia"/>
                <w:sz w:val="20"/>
                <w:szCs w:val="20"/>
              </w:rPr>
              <w:t>内容の精選や平易な表現での記述がなされており、現実社会の諸課題を探究するための概念や理論を、ゆとりをもって学ぶことができるような配慮がなされている</w:t>
            </w:r>
            <w:r w:rsidRPr="00554463">
              <w:rPr>
                <w:rFonts w:ascii="ＭＳ 明朝" w:eastAsia="ＭＳ 明朝" w:hAnsi="ＭＳ 明朝" w:hint="eastAsia"/>
                <w:sz w:val="20"/>
                <w:szCs w:val="20"/>
              </w:rPr>
              <w:t>。</w:t>
            </w:r>
            <w:r>
              <w:rPr>
                <w:rFonts w:ascii="ＭＳ 明朝" w:eastAsia="ＭＳ 明朝" w:hAnsi="ＭＳ 明朝" w:hint="eastAsia"/>
                <w:sz w:val="20"/>
                <w:szCs w:val="20"/>
              </w:rPr>
              <w:t>また、各編の第3章が選択的な扱いであることが章の導入ページで明確に示されている。</w:t>
            </w:r>
          </w:p>
          <w:p w14:paraId="4A170C72" w14:textId="77777777" w:rsidR="00F226EC" w:rsidRPr="00554463" w:rsidRDefault="00F226EC" w:rsidP="00F226EC">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w:t>
            </w:r>
            <w:r>
              <w:rPr>
                <w:rFonts w:ascii="ＭＳ 明朝" w:eastAsia="ＭＳ 明朝" w:hAnsi="ＭＳ 明朝" w:hint="eastAsia"/>
                <w:sz w:val="20"/>
                <w:szCs w:val="20"/>
              </w:rPr>
              <w:t>中学校社会科や「公共」での既習内容を踏まえて記述されている、「公共」で学習した内容を振り返る</w:t>
            </w:r>
            <w:r w:rsidRPr="00E81C2E">
              <w:rPr>
                <w:rFonts w:ascii="ＭＳ 明朝" w:eastAsia="ＭＳ 明朝" w:hAnsi="ＭＳ 明朝" w:hint="eastAsia"/>
                <w:sz w:val="20"/>
                <w:szCs w:val="20"/>
              </w:rPr>
              <w:t>ページが設けられているなど</w:t>
            </w:r>
            <w:r>
              <w:rPr>
                <w:rFonts w:ascii="ＭＳ 明朝" w:eastAsia="ＭＳ 明朝" w:hAnsi="ＭＳ 明朝" w:hint="eastAsia"/>
                <w:sz w:val="20"/>
                <w:szCs w:val="20"/>
              </w:rPr>
              <w:t>、</w:t>
            </w:r>
            <w:r w:rsidRPr="00E81C2E">
              <w:rPr>
                <w:rFonts w:ascii="ＭＳ 明朝" w:eastAsia="ＭＳ 明朝" w:hAnsi="ＭＳ 明朝" w:hint="eastAsia"/>
                <w:sz w:val="20"/>
                <w:szCs w:val="20"/>
              </w:rPr>
              <w:t>中学校や「公共」との接続に対する配慮がなされている。</w:t>
            </w:r>
          </w:p>
          <w:p w14:paraId="077379F7" w14:textId="714556F0" w:rsidR="00F226EC" w:rsidRPr="000F3935" w:rsidRDefault="00F226EC" w:rsidP="00F226EC">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○生徒の実態に応じて弾力的な扱いが可能な</w:t>
            </w:r>
            <w:r>
              <w:rPr>
                <w:rFonts w:ascii="ＭＳ 明朝" w:eastAsia="ＭＳ 明朝" w:hAnsi="ＭＳ 明朝" w:hint="eastAsia"/>
                <w:sz w:val="20"/>
                <w:szCs w:val="20"/>
              </w:rPr>
              <w:t>「コラム」や「トピック」などのコーナーや、「18歳からの社会参加</w:t>
            </w:r>
            <w:r w:rsidRPr="00554463">
              <w:rPr>
                <w:rFonts w:ascii="ＭＳ 明朝" w:eastAsia="ＭＳ 明朝" w:hAnsi="ＭＳ 明朝" w:hint="eastAsia"/>
                <w:sz w:val="20"/>
                <w:szCs w:val="20"/>
              </w:rPr>
              <w:t>」</w:t>
            </w:r>
            <w:r>
              <w:rPr>
                <w:rFonts w:ascii="ＭＳ 明朝" w:eastAsia="ＭＳ 明朝" w:hAnsi="ＭＳ 明朝" w:hint="eastAsia"/>
                <w:sz w:val="20"/>
                <w:szCs w:val="20"/>
              </w:rPr>
              <w:t>の特設ページ</w:t>
            </w:r>
            <w:r w:rsidRPr="00554463">
              <w:rPr>
                <w:rFonts w:ascii="ＭＳ 明朝" w:eastAsia="ＭＳ 明朝" w:hAnsi="ＭＳ 明朝" w:hint="eastAsia"/>
                <w:sz w:val="20"/>
                <w:szCs w:val="20"/>
              </w:rPr>
              <w:t>が充実しており</w:t>
            </w:r>
            <w:r>
              <w:rPr>
                <w:rFonts w:ascii="ＭＳ 明朝" w:eastAsia="ＭＳ 明朝" w:hAnsi="ＭＳ 明朝" w:hint="eastAsia"/>
                <w:sz w:val="20"/>
                <w:szCs w:val="20"/>
              </w:rPr>
              <w:t>、</w:t>
            </w:r>
            <w:r w:rsidRPr="00554463">
              <w:rPr>
                <w:rFonts w:ascii="ＭＳ 明朝" w:eastAsia="ＭＳ 明朝" w:hAnsi="ＭＳ 明朝" w:hint="eastAsia"/>
                <w:sz w:val="20"/>
                <w:szCs w:val="20"/>
              </w:rPr>
              <w:t>幅広い授業展開ができるよう配慮されている。</w:t>
            </w:r>
          </w:p>
        </w:tc>
      </w:tr>
      <w:tr w:rsidR="00F226EC" w:rsidRPr="000F3935" w14:paraId="419195BD" w14:textId="77777777" w:rsidTr="00F226EC">
        <w:tc>
          <w:tcPr>
            <w:tcW w:w="1382" w:type="dxa"/>
          </w:tcPr>
          <w:p w14:paraId="3BD1FB82" w14:textId="0B332701" w:rsidR="00F226EC" w:rsidRPr="000F3935" w:rsidRDefault="00F226EC" w:rsidP="00F226E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表記・表現及び指導に対する工夫や配慮</w:t>
            </w:r>
          </w:p>
        </w:tc>
        <w:tc>
          <w:tcPr>
            <w:tcW w:w="3244" w:type="dxa"/>
          </w:tcPr>
          <w:p w14:paraId="025DF71D" w14:textId="77777777" w:rsidR="00F226EC" w:rsidRPr="00C41B83" w:rsidRDefault="00F226EC" w:rsidP="00F226E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学習意欲を高めるための配慮がなされているか。</w:t>
            </w:r>
          </w:p>
          <w:p w14:paraId="69DDC1FD" w14:textId="77777777" w:rsidR="00F226EC" w:rsidRPr="00C41B83" w:rsidRDefault="00F226EC" w:rsidP="00F226E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用語・記号の取り上げ方や記述のしかたは適切か。</w:t>
            </w:r>
          </w:p>
          <w:p w14:paraId="7B67F86D" w14:textId="77777777" w:rsidR="00F226EC" w:rsidRPr="00C41B83" w:rsidRDefault="00F226EC" w:rsidP="00F226E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生徒の自学自習への配慮や工夫がなされているか。</w:t>
            </w:r>
          </w:p>
          <w:p w14:paraId="748EF2F1" w14:textId="5EB2658E" w:rsidR="00F226EC" w:rsidRPr="000F3935" w:rsidRDefault="00F226EC" w:rsidP="00F226E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指導書や周辺教材での工夫や配慮がなされているか。</w:t>
            </w:r>
          </w:p>
        </w:tc>
        <w:tc>
          <w:tcPr>
            <w:tcW w:w="9793" w:type="dxa"/>
          </w:tcPr>
          <w:p w14:paraId="75B17BBA" w14:textId="77777777" w:rsidR="00F226EC" w:rsidRPr="00554463" w:rsidRDefault="00F226EC" w:rsidP="00F226EC">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○本文ページ</w:t>
            </w:r>
            <w:r w:rsidRPr="00554463">
              <w:rPr>
                <w:rFonts w:ascii="ＭＳ 明朝" w:eastAsia="ＭＳ 明朝" w:hAnsi="ＭＳ 明朝" w:hint="eastAsia"/>
                <w:sz w:val="20"/>
                <w:szCs w:val="20"/>
              </w:rPr>
              <w:t>に</w:t>
            </w:r>
            <w:r>
              <w:rPr>
                <w:rFonts w:ascii="ＭＳ 明朝" w:eastAsia="ＭＳ 明朝" w:hAnsi="ＭＳ 明朝" w:hint="eastAsia"/>
                <w:sz w:val="20"/>
                <w:szCs w:val="20"/>
              </w:rPr>
              <w:t>「節の課題」や「項の課題」、「節のまとめの活動」が設定されるなど、生徒の主体的、意欲的な学習活動を高める</w:t>
            </w:r>
            <w:r w:rsidRPr="00554463">
              <w:rPr>
                <w:rFonts w:ascii="ＭＳ 明朝" w:eastAsia="ＭＳ 明朝" w:hAnsi="ＭＳ 明朝" w:hint="eastAsia"/>
                <w:sz w:val="20"/>
                <w:szCs w:val="20"/>
              </w:rPr>
              <w:t>ための配慮がなされている。</w:t>
            </w:r>
          </w:p>
          <w:p w14:paraId="34E47C31" w14:textId="77777777" w:rsidR="00F226EC" w:rsidRPr="00554463" w:rsidRDefault="00F226EC" w:rsidP="00F226EC">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○用語・記号は統一されており</w:t>
            </w:r>
            <w:r>
              <w:rPr>
                <w:rFonts w:ascii="ＭＳ 明朝" w:eastAsia="ＭＳ 明朝" w:hAnsi="ＭＳ 明朝" w:hint="eastAsia"/>
                <w:sz w:val="20"/>
                <w:szCs w:val="20"/>
              </w:rPr>
              <w:t>、</w:t>
            </w:r>
            <w:r w:rsidRPr="00554463">
              <w:rPr>
                <w:rFonts w:ascii="ＭＳ 明朝" w:eastAsia="ＭＳ 明朝" w:hAnsi="ＭＳ 明朝" w:hint="eastAsia"/>
                <w:sz w:val="20"/>
                <w:szCs w:val="20"/>
              </w:rPr>
              <w:t>記述のしかたもわかりやすく適切である。</w:t>
            </w:r>
          </w:p>
          <w:p w14:paraId="3C7D33C0" w14:textId="77777777" w:rsidR="00F226EC" w:rsidRPr="00554463" w:rsidRDefault="00F226EC" w:rsidP="00F226EC">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〇記述は平易・簡明であり</w:t>
            </w:r>
            <w:r>
              <w:rPr>
                <w:rFonts w:ascii="ＭＳ 明朝" w:eastAsia="ＭＳ 明朝" w:hAnsi="ＭＳ 明朝" w:hint="eastAsia"/>
                <w:sz w:val="20"/>
                <w:szCs w:val="20"/>
              </w:rPr>
              <w:t>、</w:t>
            </w:r>
            <w:r w:rsidRPr="00554463">
              <w:rPr>
                <w:rFonts w:ascii="ＭＳ 明朝" w:eastAsia="ＭＳ 明朝" w:hAnsi="ＭＳ 明朝" w:hint="eastAsia"/>
                <w:sz w:val="20"/>
                <w:szCs w:val="20"/>
              </w:rPr>
              <w:t>生徒が読みやすいようにルビやゴチックがつけられており</w:t>
            </w:r>
            <w:r>
              <w:rPr>
                <w:rFonts w:ascii="ＭＳ 明朝" w:eastAsia="ＭＳ 明朝" w:hAnsi="ＭＳ 明朝" w:hint="eastAsia"/>
                <w:sz w:val="20"/>
                <w:szCs w:val="20"/>
              </w:rPr>
              <w:t>、</w:t>
            </w:r>
            <w:r w:rsidRPr="00554463">
              <w:rPr>
                <w:rFonts w:ascii="ＭＳ 明朝" w:eastAsia="ＭＳ 明朝" w:hAnsi="ＭＳ 明朝" w:hint="eastAsia"/>
                <w:sz w:val="20"/>
                <w:szCs w:val="20"/>
              </w:rPr>
              <w:t>自学自習への配慮や工夫がなされている。</w:t>
            </w:r>
          </w:p>
          <w:p w14:paraId="791F51C9" w14:textId="2A371F53" w:rsidR="00F226EC" w:rsidRPr="00D26BB7" w:rsidRDefault="00F226EC" w:rsidP="00F226EC">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○教師用指導書や指導者用デジタルコンテンツ集、準拠教材</w:t>
            </w:r>
            <w:r w:rsidRPr="00554463">
              <w:rPr>
                <w:rFonts w:ascii="ＭＳ 明朝" w:eastAsia="ＭＳ 明朝" w:hAnsi="ＭＳ 明朝" w:hint="eastAsia"/>
                <w:sz w:val="20"/>
                <w:szCs w:val="20"/>
              </w:rPr>
              <w:t>が準備されており</w:t>
            </w:r>
            <w:r>
              <w:rPr>
                <w:rFonts w:ascii="ＭＳ 明朝" w:eastAsia="ＭＳ 明朝" w:hAnsi="ＭＳ 明朝" w:hint="eastAsia"/>
                <w:sz w:val="20"/>
                <w:szCs w:val="20"/>
              </w:rPr>
              <w:t>、</w:t>
            </w:r>
            <w:r w:rsidRPr="00554463">
              <w:rPr>
                <w:rFonts w:ascii="ＭＳ 明朝" w:eastAsia="ＭＳ 明朝" w:hAnsi="ＭＳ 明朝" w:hint="eastAsia"/>
                <w:sz w:val="20"/>
                <w:szCs w:val="20"/>
              </w:rPr>
              <w:t>教科書との併用によって学習効果を高めることができるよう</w:t>
            </w:r>
            <w:r>
              <w:rPr>
                <w:rFonts w:ascii="ＭＳ 明朝" w:eastAsia="ＭＳ 明朝" w:hAnsi="ＭＳ 明朝" w:hint="eastAsia"/>
                <w:sz w:val="20"/>
                <w:szCs w:val="20"/>
              </w:rPr>
              <w:t>、</w:t>
            </w:r>
            <w:r w:rsidRPr="00554463">
              <w:rPr>
                <w:rFonts w:ascii="ＭＳ 明朝" w:eastAsia="ＭＳ 明朝" w:hAnsi="ＭＳ 明朝" w:hint="eastAsia"/>
                <w:sz w:val="20"/>
                <w:szCs w:val="20"/>
              </w:rPr>
              <w:t>工夫や配慮がなされている。</w:t>
            </w:r>
          </w:p>
        </w:tc>
      </w:tr>
      <w:tr w:rsidR="00F226EC" w:rsidRPr="000F3935" w14:paraId="15968EA1" w14:textId="77777777" w:rsidTr="00F226EC">
        <w:tc>
          <w:tcPr>
            <w:tcW w:w="1382" w:type="dxa"/>
          </w:tcPr>
          <w:p w14:paraId="092A481C" w14:textId="279A350A" w:rsidR="00F226EC" w:rsidRPr="000F3935" w:rsidRDefault="00F226EC" w:rsidP="00F226E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lastRenderedPageBreak/>
              <w:t>印刷・造本上の配慮</w:t>
            </w:r>
          </w:p>
        </w:tc>
        <w:tc>
          <w:tcPr>
            <w:tcW w:w="3244" w:type="dxa"/>
          </w:tcPr>
          <w:p w14:paraId="0B4FF630" w14:textId="77777777" w:rsidR="00F226EC" w:rsidRPr="00C41B83" w:rsidRDefault="00F226EC" w:rsidP="00F226E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印刷の鮮明さ</w:t>
            </w: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活字の大きさ</w:t>
            </w: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行間</w:t>
            </w: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製本などは適切か。</w:t>
            </w:r>
          </w:p>
          <w:p w14:paraId="11F51E40" w14:textId="15A438E0" w:rsidR="00F226EC" w:rsidRPr="000F3935" w:rsidRDefault="00F226EC" w:rsidP="00F226E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環境保全や生徒の多様な特性に配慮がなされているか。</w:t>
            </w:r>
          </w:p>
        </w:tc>
        <w:tc>
          <w:tcPr>
            <w:tcW w:w="9793" w:type="dxa"/>
          </w:tcPr>
          <w:p w14:paraId="5EEE6B40" w14:textId="77777777" w:rsidR="00F226EC" w:rsidRPr="00554463" w:rsidRDefault="00F226EC" w:rsidP="00F226EC">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○活字の大きさや配置</w:t>
            </w:r>
            <w:r>
              <w:rPr>
                <w:rFonts w:ascii="ＭＳ 明朝" w:eastAsia="ＭＳ 明朝" w:hAnsi="ＭＳ 明朝" w:hint="eastAsia"/>
                <w:sz w:val="20"/>
                <w:szCs w:val="20"/>
              </w:rPr>
              <w:t>、</w:t>
            </w:r>
            <w:r w:rsidRPr="00554463">
              <w:rPr>
                <w:rFonts w:ascii="ＭＳ 明朝" w:eastAsia="ＭＳ 明朝" w:hAnsi="ＭＳ 明朝" w:hint="eastAsia"/>
                <w:sz w:val="20"/>
                <w:szCs w:val="20"/>
              </w:rPr>
              <w:t>用紙の色などは読みやすく配慮されており</w:t>
            </w:r>
            <w:r>
              <w:rPr>
                <w:rFonts w:ascii="ＭＳ 明朝" w:eastAsia="ＭＳ 明朝" w:hAnsi="ＭＳ 明朝" w:hint="eastAsia"/>
                <w:sz w:val="20"/>
                <w:szCs w:val="20"/>
              </w:rPr>
              <w:t>、</w:t>
            </w:r>
            <w:r w:rsidRPr="00554463">
              <w:rPr>
                <w:rFonts w:ascii="ＭＳ 明朝" w:eastAsia="ＭＳ 明朝" w:hAnsi="ＭＳ 明朝" w:hint="eastAsia"/>
                <w:sz w:val="20"/>
                <w:szCs w:val="20"/>
              </w:rPr>
              <w:t>写真・図版も大きく鮮明で効果的である。製本も堅牢である。</w:t>
            </w:r>
          </w:p>
          <w:p w14:paraId="7B955EFF" w14:textId="77777777" w:rsidR="00F226EC" w:rsidRDefault="00F226EC" w:rsidP="00F226EC">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w:t>
            </w:r>
            <w:r>
              <w:rPr>
                <w:rFonts w:ascii="ＭＳ 明朝" w:eastAsia="ＭＳ 明朝" w:hAnsi="ＭＳ 明朝" w:hint="eastAsia"/>
                <w:sz w:val="20"/>
                <w:szCs w:val="20"/>
              </w:rPr>
              <w:t>本文の用紙には再生紙と</w:t>
            </w:r>
            <w:r w:rsidRPr="00554463">
              <w:rPr>
                <w:rFonts w:ascii="ＭＳ 明朝" w:eastAsia="ＭＳ 明朝" w:hAnsi="ＭＳ 明朝" w:hint="eastAsia"/>
                <w:sz w:val="20"/>
                <w:szCs w:val="20"/>
              </w:rPr>
              <w:t>植物油インキが使用され</w:t>
            </w:r>
            <w:r>
              <w:rPr>
                <w:rFonts w:ascii="ＭＳ 明朝" w:eastAsia="ＭＳ 明朝" w:hAnsi="ＭＳ 明朝" w:hint="eastAsia"/>
                <w:sz w:val="20"/>
                <w:szCs w:val="20"/>
              </w:rPr>
              <w:t>ており、地球環境や資源に及ぼす影響が考慮されている。</w:t>
            </w:r>
          </w:p>
          <w:p w14:paraId="3AACE33E" w14:textId="2C6A5A4B" w:rsidR="00F226EC" w:rsidRPr="000F3935" w:rsidRDefault="00F226EC" w:rsidP="00F226EC">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○図の色遣いなどは色覚特性</w:t>
            </w:r>
            <w:r w:rsidRPr="00554463">
              <w:rPr>
                <w:rFonts w:ascii="ＭＳ 明朝" w:eastAsia="ＭＳ 明朝" w:hAnsi="ＭＳ 明朝" w:hint="eastAsia"/>
                <w:sz w:val="20"/>
                <w:szCs w:val="20"/>
              </w:rPr>
              <w:t>への</w:t>
            </w:r>
            <w:r>
              <w:rPr>
                <w:rFonts w:ascii="ＭＳ 明朝" w:eastAsia="ＭＳ 明朝" w:hAnsi="ＭＳ 明朝" w:hint="eastAsia"/>
                <w:sz w:val="20"/>
                <w:szCs w:val="20"/>
              </w:rPr>
              <w:t>配慮</w:t>
            </w:r>
            <w:r w:rsidRPr="00554463">
              <w:rPr>
                <w:rFonts w:ascii="ＭＳ 明朝" w:eastAsia="ＭＳ 明朝" w:hAnsi="ＭＳ 明朝" w:hint="eastAsia"/>
                <w:sz w:val="20"/>
                <w:szCs w:val="20"/>
              </w:rPr>
              <w:t>を含むユニバーサルデザインとなって</w:t>
            </w:r>
            <w:r>
              <w:rPr>
                <w:rFonts w:ascii="ＭＳ 明朝" w:eastAsia="ＭＳ 明朝" w:hAnsi="ＭＳ 明朝" w:hint="eastAsia"/>
                <w:sz w:val="20"/>
                <w:szCs w:val="20"/>
              </w:rPr>
              <w:t>おり、配色が工夫され、見やすい紙面になっている</w:t>
            </w:r>
            <w:r w:rsidRPr="00554463">
              <w:rPr>
                <w:rFonts w:ascii="ＭＳ 明朝" w:eastAsia="ＭＳ 明朝" w:hAnsi="ＭＳ 明朝" w:hint="eastAsia"/>
                <w:sz w:val="20"/>
                <w:szCs w:val="20"/>
              </w:rPr>
              <w:t>。</w:t>
            </w:r>
          </w:p>
        </w:tc>
      </w:tr>
      <w:tr w:rsidR="00F226EC" w:rsidRPr="000F3935" w14:paraId="441C8C0B" w14:textId="77777777" w:rsidTr="00F226EC">
        <w:tc>
          <w:tcPr>
            <w:tcW w:w="1382" w:type="dxa"/>
          </w:tcPr>
          <w:p w14:paraId="4BEA6671" w14:textId="0DF3FC46" w:rsidR="00F226EC" w:rsidRPr="000F3935" w:rsidRDefault="00F226EC" w:rsidP="00F226E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総合所見</w:t>
            </w:r>
          </w:p>
        </w:tc>
        <w:tc>
          <w:tcPr>
            <w:tcW w:w="3244" w:type="dxa"/>
          </w:tcPr>
          <w:p w14:paraId="7A68E07A" w14:textId="7ED450E1" w:rsidR="00F226EC" w:rsidRPr="000F3935" w:rsidRDefault="00F226EC" w:rsidP="00F226E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上記観点からみた</w:t>
            </w: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全体的・総合的な当教科書の特徴</w:t>
            </w:r>
          </w:p>
        </w:tc>
        <w:tc>
          <w:tcPr>
            <w:tcW w:w="9793" w:type="dxa"/>
          </w:tcPr>
          <w:p w14:paraId="2478A9F3" w14:textId="6CFC86F8" w:rsidR="00F226EC" w:rsidRPr="000F3935" w:rsidRDefault="00F226EC" w:rsidP="00F226EC">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○全体的に</w:t>
            </w:r>
            <w:r>
              <w:rPr>
                <w:rFonts w:ascii="ＭＳ 明朝" w:eastAsia="ＭＳ 明朝" w:hAnsi="ＭＳ 明朝" w:hint="eastAsia"/>
                <w:sz w:val="20"/>
                <w:szCs w:val="20"/>
              </w:rPr>
              <w:t>、</w:t>
            </w:r>
            <w:r w:rsidRPr="00554463">
              <w:rPr>
                <w:rFonts w:ascii="ＭＳ 明朝" w:eastAsia="ＭＳ 明朝" w:hAnsi="ＭＳ 明朝" w:hint="eastAsia"/>
                <w:sz w:val="20"/>
                <w:szCs w:val="20"/>
              </w:rPr>
              <w:t>基礎的・基本的な内容が偏ることなく提示され</w:t>
            </w:r>
            <w:r>
              <w:rPr>
                <w:rFonts w:ascii="ＭＳ 明朝" w:eastAsia="ＭＳ 明朝" w:hAnsi="ＭＳ 明朝" w:hint="eastAsia"/>
                <w:sz w:val="20"/>
                <w:szCs w:val="20"/>
              </w:rPr>
              <w:t>、</w:t>
            </w:r>
            <w:r w:rsidRPr="00554463">
              <w:rPr>
                <w:rFonts w:ascii="ＭＳ 明朝" w:eastAsia="ＭＳ 明朝" w:hAnsi="ＭＳ 明朝" w:hint="eastAsia"/>
                <w:sz w:val="20"/>
                <w:szCs w:val="20"/>
              </w:rPr>
              <w:t>生徒の主体的な学習を促す工夫が随所に示されている。また</w:t>
            </w:r>
            <w:r>
              <w:rPr>
                <w:rFonts w:ascii="ＭＳ 明朝" w:eastAsia="ＭＳ 明朝" w:hAnsi="ＭＳ 明朝" w:hint="eastAsia"/>
                <w:sz w:val="20"/>
                <w:szCs w:val="20"/>
              </w:rPr>
              <w:t>、</w:t>
            </w:r>
            <w:r w:rsidRPr="00554463">
              <w:rPr>
                <w:rFonts w:ascii="ＭＳ 明朝" w:eastAsia="ＭＳ 明朝" w:hAnsi="ＭＳ 明朝" w:hint="eastAsia"/>
                <w:sz w:val="20"/>
                <w:szCs w:val="20"/>
              </w:rPr>
              <w:t>生徒の興味・関心に応じて深化・発展させられる工夫もなされている。総合的にみて</w:t>
            </w:r>
            <w:r>
              <w:rPr>
                <w:rFonts w:ascii="ＭＳ 明朝" w:eastAsia="ＭＳ 明朝" w:hAnsi="ＭＳ 明朝" w:hint="eastAsia"/>
                <w:sz w:val="20"/>
                <w:szCs w:val="20"/>
              </w:rPr>
              <w:t>、</w:t>
            </w:r>
            <w:r w:rsidRPr="00554463">
              <w:rPr>
                <w:rFonts w:ascii="ＭＳ 明朝" w:eastAsia="ＭＳ 明朝" w:hAnsi="ＭＳ 明朝" w:hint="eastAsia"/>
                <w:sz w:val="20"/>
                <w:szCs w:val="20"/>
              </w:rPr>
              <w:t>構成・内容・程度・分量などのバランスがとれ</w:t>
            </w:r>
            <w:r>
              <w:rPr>
                <w:rFonts w:ascii="ＭＳ 明朝" w:eastAsia="ＭＳ 明朝" w:hAnsi="ＭＳ 明朝" w:hint="eastAsia"/>
                <w:sz w:val="20"/>
                <w:szCs w:val="20"/>
              </w:rPr>
              <w:t>、</w:t>
            </w:r>
            <w:r w:rsidRPr="00554463">
              <w:rPr>
                <w:rFonts w:ascii="ＭＳ 明朝" w:eastAsia="ＭＳ 明朝" w:hAnsi="ＭＳ 明朝" w:hint="eastAsia"/>
                <w:sz w:val="20"/>
                <w:szCs w:val="20"/>
              </w:rPr>
              <w:t>配慮の行き届いた</w:t>
            </w:r>
            <w:r>
              <w:rPr>
                <w:rFonts w:ascii="ＭＳ 明朝" w:eastAsia="ＭＳ 明朝" w:hAnsi="ＭＳ 明朝" w:hint="eastAsia"/>
                <w:sz w:val="20"/>
                <w:szCs w:val="20"/>
              </w:rPr>
              <w:t>、</w:t>
            </w:r>
            <w:r w:rsidRPr="00554463">
              <w:rPr>
                <w:rFonts w:ascii="ＭＳ 明朝" w:eastAsia="ＭＳ 明朝" w:hAnsi="ＭＳ 明朝" w:hint="eastAsia"/>
                <w:sz w:val="20"/>
                <w:szCs w:val="20"/>
              </w:rPr>
              <w:t>使いやすい教科書である。</w:t>
            </w:r>
          </w:p>
        </w:tc>
      </w:tr>
    </w:tbl>
    <w:p w14:paraId="163567C0" w14:textId="17063251" w:rsidR="009B3692" w:rsidRPr="0028063F" w:rsidRDefault="0028063F" w:rsidP="0028063F">
      <w:pPr>
        <w:tabs>
          <w:tab w:val="left" w:pos="8460"/>
        </w:tabs>
        <w:snapToGrid w:val="0"/>
        <w:jc w:val="right"/>
        <w:textAlignment w:val="baseline"/>
        <w:rPr>
          <w:rFonts w:hAnsi="HG丸ｺﾞｼｯｸM-PRO"/>
          <w:sz w:val="20"/>
          <w:szCs w:val="20"/>
        </w:rPr>
      </w:pPr>
      <w:r>
        <w:rPr>
          <w:rFonts w:ascii="ＭＳ Ｐゴシック" w:eastAsia="ＭＳ Ｐゴシック" w:hAnsi="ＭＳ Ｐゴシック" w:hint="eastAsia"/>
          <w:sz w:val="20"/>
          <w:szCs w:val="20"/>
        </w:rPr>
        <w:t>令和</w:t>
      </w:r>
      <w:r w:rsidR="00C16D44">
        <w:rPr>
          <w:rFonts w:ascii="ＭＳ Ｐゴシック" w:eastAsia="ＭＳ Ｐゴシック" w:hAnsi="ＭＳ Ｐゴシック" w:hint="eastAsia"/>
          <w:sz w:val="20"/>
          <w:szCs w:val="20"/>
        </w:rPr>
        <w:t>9</w:t>
      </w:r>
      <w:r w:rsidRPr="00DA3C36">
        <w:rPr>
          <w:rFonts w:ascii="ＭＳ Ｐゴシック" w:eastAsia="ＭＳ Ｐゴシック" w:hAnsi="ＭＳ Ｐゴシック" w:hint="eastAsia"/>
          <w:sz w:val="20"/>
          <w:szCs w:val="20"/>
        </w:rPr>
        <w:t>年度用 高等学校教科書内容解説資料</w:t>
      </w:r>
    </w:p>
    <w:sectPr w:rsidR="009B3692" w:rsidRPr="0028063F" w:rsidSect="0028063F">
      <w:pgSz w:w="16840" w:h="11907" w:orient="landscape" w:code="9"/>
      <w:pgMar w:top="1134" w:right="1134" w:bottom="1134" w:left="1134" w:header="851" w:footer="992" w:gutter="0"/>
      <w:cols w:space="1261"/>
      <w:docGrid w:linePitch="340" w:charSpace="-35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02853" w14:textId="77777777" w:rsidR="00256DC4" w:rsidRDefault="00256DC4" w:rsidP="00F226EC">
      <w:r>
        <w:separator/>
      </w:r>
    </w:p>
  </w:endnote>
  <w:endnote w:type="continuationSeparator" w:id="0">
    <w:p w14:paraId="1B68AEE0" w14:textId="77777777" w:rsidR="00256DC4" w:rsidRDefault="00256DC4" w:rsidP="00F2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CF33F" w14:textId="77777777" w:rsidR="00256DC4" w:rsidRDefault="00256DC4" w:rsidP="00F226EC">
      <w:r>
        <w:separator/>
      </w:r>
    </w:p>
  </w:footnote>
  <w:footnote w:type="continuationSeparator" w:id="0">
    <w:p w14:paraId="6C82B016" w14:textId="77777777" w:rsidR="00256DC4" w:rsidRDefault="00256DC4" w:rsidP="00F226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63F"/>
    <w:rsid w:val="00122180"/>
    <w:rsid w:val="00256DC4"/>
    <w:rsid w:val="0028063F"/>
    <w:rsid w:val="003B3BBB"/>
    <w:rsid w:val="005B7E37"/>
    <w:rsid w:val="005D2A91"/>
    <w:rsid w:val="00853A51"/>
    <w:rsid w:val="009B3692"/>
    <w:rsid w:val="00C16D44"/>
    <w:rsid w:val="00D4466A"/>
    <w:rsid w:val="00F22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7D2614"/>
  <w15:chartTrackingRefBased/>
  <w15:docId w15:val="{BD6A35F0-9ECB-40FC-B9A3-6E1F071D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63F"/>
    <w:pPr>
      <w:widowControl w:val="0"/>
      <w:spacing w:line="240" w:lineRule="auto"/>
    </w:pPr>
    <w:rPr>
      <w:rFonts w:ascii="HG丸ｺﾞｼｯｸM-PRO" w:eastAsia="HG丸ｺﾞｼｯｸM-PRO"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6EC"/>
    <w:pPr>
      <w:tabs>
        <w:tab w:val="center" w:pos="4252"/>
        <w:tab w:val="right" w:pos="8504"/>
      </w:tabs>
      <w:snapToGrid w:val="0"/>
    </w:pPr>
  </w:style>
  <w:style w:type="character" w:customStyle="1" w:styleId="a4">
    <w:name w:val="ヘッダー (文字)"/>
    <w:basedOn w:val="a0"/>
    <w:link w:val="a3"/>
    <w:uiPriority w:val="99"/>
    <w:rsid w:val="00F226EC"/>
    <w:rPr>
      <w:rFonts w:ascii="HG丸ｺﾞｼｯｸM-PRO" w:eastAsia="HG丸ｺﾞｼｯｸM-PRO" w:hAnsi="Century" w:cs="Times New Roman"/>
    </w:rPr>
  </w:style>
  <w:style w:type="paragraph" w:styleId="a5">
    <w:name w:val="footer"/>
    <w:basedOn w:val="a"/>
    <w:link w:val="a6"/>
    <w:uiPriority w:val="99"/>
    <w:unhideWhenUsed/>
    <w:rsid w:val="00F226EC"/>
    <w:pPr>
      <w:tabs>
        <w:tab w:val="center" w:pos="4252"/>
        <w:tab w:val="right" w:pos="8504"/>
      </w:tabs>
      <w:snapToGrid w:val="0"/>
    </w:pPr>
  </w:style>
  <w:style w:type="character" w:customStyle="1" w:styleId="a6">
    <w:name w:val="フッター (文字)"/>
    <w:basedOn w:val="a0"/>
    <w:link w:val="a5"/>
    <w:uiPriority w:val="99"/>
    <w:rsid w:val="00F226EC"/>
    <w:rPr>
      <w:rFonts w:ascii="HG丸ｺﾞｼｯｸM-PRO" w:eastAsia="HG丸ｺﾞｼｯｸM-PRO"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271</Words>
  <Characters>1549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東京書籍（株）</dc:creator>
  <cp:keywords/>
  <dc:description/>
  <cp:lastPrinted>2026-03-05T05:33:00Z</cp:lastPrinted>
  <dcterms:created xsi:type="dcterms:W3CDTF">2022-03-02T05:14:00Z</dcterms:created>
  <dcterms:modified xsi:type="dcterms:W3CDTF">2026-03-05T05:36:00Z</dcterms:modified>
</cp:coreProperties>
</file>