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C6BF" w14:textId="77777777" w:rsidR="00EE757D" w:rsidRPr="0012516D" w:rsidRDefault="000B06D6">
      <w:pPr>
        <w:rPr>
          <w:rFonts w:ascii="ＭＳ ゴシック" w:eastAsia="ＭＳ ゴシック" w:hAnsi="ＭＳ ゴシック"/>
        </w:rPr>
      </w:pPr>
      <w:r w:rsidRPr="0012516D">
        <w:rPr>
          <w:rFonts w:ascii="ＭＳ ゴシック" w:eastAsia="ＭＳ ゴシック" w:hAnsi="ＭＳ ゴシック"/>
        </w:rPr>
        <w:t>検討の観点と内容の特色</w:t>
      </w:r>
    </w:p>
    <w:tbl>
      <w:tblPr>
        <w:tblStyle w:val="a3"/>
        <w:tblW w:w="9776" w:type="dxa"/>
        <w:tblLook w:val="04A0" w:firstRow="1" w:lastRow="0" w:firstColumn="1" w:lastColumn="0" w:noHBand="0" w:noVBand="1"/>
      </w:tblPr>
      <w:tblGrid>
        <w:gridCol w:w="808"/>
        <w:gridCol w:w="2164"/>
        <w:gridCol w:w="709"/>
        <w:gridCol w:w="2268"/>
        <w:gridCol w:w="1563"/>
        <w:gridCol w:w="2264"/>
      </w:tblGrid>
      <w:tr w:rsidR="002452C2" w:rsidRPr="000B06D6" w14:paraId="7296299F" w14:textId="77777777" w:rsidTr="00CC0536">
        <w:tc>
          <w:tcPr>
            <w:tcW w:w="808" w:type="dxa"/>
          </w:tcPr>
          <w:p w14:paraId="4F037CE1" w14:textId="77777777" w:rsidR="002452C2" w:rsidRPr="000B06D6" w:rsidRDefault="002452C2" w:rsidP="00075DF2">
            <w:pPr>
              <w:jc w:val="center"/>
              <w:rPr>
                <w:rFonts w:ascii="ＭＳ 明朝" w:eastAsia="ＭＳ 明朝" w:hAnsi="ＭＳ 明朝"/>
              </w:rPr>
            </w:pPr>
            <w:r w:rsidRPr="00075DF2">
              <w:rPr>
                <w:rFonts w:ascii="ＭＳ 明朝" w:eastAsia="ＭＳ 明朝" w:hAnsi="ＭＳ 明朝" w:hint="eastAsia"/>
                <w:sz w:val="18"/>
              </w:rPr>
              <w:t>書名</w:t>
            </w:r>
          </w:p>
        </w:tc>
        <w:tc>
          <w:tcPr>
            <w:tcW w:w="2164" w:type="dxa"/>
          </w:tcPr>
          <w:p w14:paraId="53DAA85E" w14:textId="781D281E" w:rsidR="002452C2" w:rsidRPr="00072565" w:rsidRDefault="00075DF2">
            <w:pPr>
              <w:rPr>
                <w:rFonts w:ascii="ＭＳ ゴシック" w:eastAsia="ＭＳ ゴシック" w:hAnsi="ＭＳ ゴシック"/>
              </w:rPr>
            </w:pPr>
            <w:r w:rsidRPr="00075DF2">
              <w:rPr>
                <w:rFonts w:ascii="ＭＳ ゴシック" w:eastAsia="ＭＳ ゴシック" w:hAnsi="ＭＳ ゴシック" w:hint="eastAsia"/>
              </w:rPr>
              <w:t>新編化学</w:t>
            </w:r>
          </w:p>
        </w:tc>
        <w:tc>
          <w:tcPr>
            <w:tcW w:w="709" w:type="dxa"/>
          </w:tcPr>
          <w:p w14:paraId="0679F5D2" w14:textId="77777777" w:rsidR="002452C2" w:rsidRPr="000B06D6" w:rsidRDefault="002452C2" w:rsidP="00075DF2">
            <w:pPr>
              <w:jc w:val="center"/>
              <w:rPr>
                <w:rFonts w:ascii="ＭＳ 明朝" w:eastAsia="ＭＳ 明朝" w:hAnsi="ＭＳ 明朝"/>
              </w:rPr>
            </w:pPr>
            <w:r w:rsidRPr="00075DF2">
              <w:rPr>
                <w:rFonts w:ascii="ＭＳ 明朝" w:eastAsia="ＭＳ 明朝" w:hAnsi="ＭＳ 明朝"/>
                <w:sz w:val="18"/>
              </w:rPr>
              <w:t>教番</w:t>
            </w:r>
          </w:p>
        </w:tc>
        <w:tc>
          <w:tcPr>
            <w:tcW w:w="2268" w:type="dxa"/>
          </w:tcPr>
          <w:p w14:paraId="0FD81A56" w14:textId="4B2C6860" w:rsidR="002452C2" w:rsidRPr="0012516D" w:rsidRDefault="00075DF2">
            <w:pPr>
              <w:rPr>
                <w:rFonts w:ascii="ＭＳ ゴシック" w:eastAsia="ＭＳ ゴシック" w:hAnsi="ＭＳ ゴシック"/>
              </w:rPr>
            </w:pPr>
            <w:r w:rsidRPr="0012516D">
              <w:rPr>
                <w:rFonts w:ascii="ＭＳ ゴシック" w:eastAsia="ＭＳ ゴシック" w:hAnsi="ＭＳ ゴシック"/>
              </w:rPr>
              <w:t>2 東書・</w:t>
            </w:r>
            <w:r w:rsidR="003A3743">
              <w:rPr>
                <w:rFonts w:ascii="ＭＳ ゴシック" w:eastAsia="ＭＳ ゴシック" w:hAnsi="ＭＳ ゴシック" w:hint="eastAsia"/>
              </w:rPr>
              <w:t>化学</w:t>
            </w:r>
            <w:r w:rsidR="00CC0536">
              <w:rPr>
                <w:rFonts w:ascii="ＭＳ ゴシック" w:eastAsia="ＭＳ ゴシック" w:hAnsi="ＭＳ ゴシック" w:hint="eastAsia"/>
              </w:rPr>
              <w:t>002-</w:t>
            </w:r>
            <w:r w:rsidR="00557FDF">
              <w:rPr>
                <w:rFonts w:ascii="ＭＳ ゴシック" w:eastAsia="ＭＳ ゴシック" w:hAnsi="ＭＳ ゴシック"/>
              </w:rPr>
              <w:t>9</w:t>
            </w:r>
            <w:r w:rsidRPr="0012516D">
              <w:rPr>
                <w:rFonts w:ascii="ＭＳ ゴシック" w:eastAsia="ＭＳ ゴシック" w:hAnsi="ＭＳ ゴシック"/>
              </w:rPr>
              <w:t>02</w:t>
            </w:r>
          </w:p>
        </w:tc>
        <w:tc>
          <w:tcPr>
            <w:tcW w:w="1563" w:type="dxa"/>
          </w:tcPr>
          <w:p w14:paraId="70770CB0" w14:textId="77777777" w:rsidR="002452C2" w:rsidRPr="00075DF2" w:rsidRDefault="002452C2" w:rsidP="00075DF2">
            <w:pPr>
              <w:jc w:val="center"/>
              <w:rPr>
                <w:rFonts w:ascii="ＭＳ 明朝" w:eastAsia="ＭＳ 明朝" w:hAnsi="ＭＳ 明朝"/>
                <w:sz w:val="18"/>
              </w:rPr>
            </w:pPr>
            <w:r w:rsidRPr="00075DF2">
              <w:rPr>
                <w:rFonts w:ascii="ＭＳ 明朝" w:eastAsia="ＭＳ 明朝" w:hAnsi="ＭＳ 明朝"/>
                <w:sz w:val="18"/>
              </w:rPr>
              <w:t>判型・ページ数</w:t>
            </w:r>
          </w:p>
        </w:tc>
        <w:tc>
          <w:tcPr>
            <w:tcW w:w="2264" w:type="dxa"/>
          </w:tcPr>
          <w:p w14:paraId="222EA5AA" w14:textId="1AF465E8" w:rsidR="002452C2" w:rsidRPr="0012516D" w:rsidRDefault="00075DF2" w:rsidP="009A0D71">
            <w:pPr>
              <w:rPr>
                <w:rFonts w:ascii="ＭＳ ゴシック" w:eastAsia="ＭＳ ゴシック" w:hAnsi="ＭＳ ゴシック"/>
              </w:rPr>
            </w:pPr>
            <w:r w:rsidRPr="0012516D">
              <w:rPr>
                <w:rFonts w:ascii="ＭＳ ゴシック" w:eastAsia="ＭＳ ゴシック" w:hAnsi="ＭＳ ゴシック"/>
              </w:rPr>
              <w:t>B5判・</w:t>
            </w:r>
            <w:r w:rsidR="003A3743">
              <w:rPr>
                <w:rFonts w:ascii="ＭＳ ゴシック" w:eastAsia="ＭＳ ゴシック" w:hAnsi="ＭＳ ゴシック" w:hint="eastAsia"/>
              </w:rPr>
              <w:t>362</w:t>
            </w:r>
            <w:r w:rsidRPr="0012516D">
              <w:rPr>
                <w:rFonts w:ascii="ＭＳ ゴシック" w:eastAsia="ＭＳ ゴシック" w:hAnsi="ＭＳ ゴシック"/>
              </w:rPr>
              <w:t>ページ</w:t>
            </w:r>
          </w:p>
        </w:tc>
      </w:tr>
    </w:tbl>
    <w:p w14:paraId="05C7A1D1" w14:textId="77777777" w:rsidR="0012516D" w:rsidRPr="00D85DE8" w:rsidRDefault="0012516D" w:rsidP="00075DF2">
      <w:pPr>
        <w:tabs>
          <w:tab w:val="left" w:pos="875"/>
          <w:tab w:val="left" w:pos="3552"/>
        </w:tabs>
        <w:ind w:left="113"/>
        <w:jc w:val="left"/>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ab/>
      </w:r>
      <w:r w:rsidRPr="00D85DE8">
        <w:rPr>
          <w:rFonts w:ascii="ＭＳ ゴシック" w:eastAsia="ＭＳ ゴシック" w:hAnsi="ＭＳ ゴシック"/>
          <w:sz w:val="18"/>
          <w:szCs w:val="18"/>
        </w:rPr>
        <w:tab/>
      </w:r>
    </w:p>
    <w:tbl>
      <w:tblPr>
        <w:tblStyle w:val="a3"/>
        <w:tblW w:w="9776" w:type="dxa"/>
        <w:tblLook w:val="04A0" w:firstRow="1" w:lastRow="0" w:firstColumn="1" w:lastColumn="0" w:noHBand="0" w:noVBand="1"/>
      </w:tblPr>
      <w:tblGrid>
        <w:gridCol w:w="762"/>
        <w:gridCol w:w="2677"/>
        <w:gridCol w:w="6337"/>
      </w:tblGrid>
      <w:tr w:rsidR="000B06D6" w:rsidRPr="000B06D6" w14:paraId="7CA25CBC" w14:textId="77777777" w:rsidTr="00647D27">
        <w:tc>
          <w:tcPr>
            <w:tcW w:w="704" w:type="dxa"/>
          </w:tcPr>
          <w:p w14:paraId="56977583" w14:textId="77777777" w:rsidR="000B06D6" w:rsidRPr="00D85DE8" w:rsidRDefault="000B06D6" w:rsidP="009C2CEA">
            <w:pPr>
              <w:jc w:val="center"/>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項目</w:t>
            </w:r>
          </w:p>
        </w:tc>
        <w:tc>
          <w:tcPr>
            <w:tcW w:w="2693" w:type="dxa"/>
          </w:tcPr>
          <w:p w14:paraId="0B841156" w14:textId="77777777" w:rsidR="000B06D6" w:rsidRPr="00D85DE8" w:rsidRDefault="001A0481" w:rsidP="00075DF2">
            <w:pPr>
              <w:jc w:val="center"/>
              <w:rPr>
                <w:rFonts w:ascii="ＭＳ ゴシック" w:eastAsia="ＭＳ ゴシック" w:hAnsi="ＭＳ ゴシック"/>
                <w:sz w:val="18"/>
                <w:szCs w:val="18"/>
              </w:rPr>
            </w:pPr>
            <w:r>
              <w:rPr>
                <w:rFonts w:ascii="ＭＳ ゴシック" w:eastAsia="ＭＳ ゴシック" w:hAnsi="ＭＳ ゴシック"/>
                <w:sz w:val="18"/>
                <w:szCs w:val="18"/>
              </w:rPr>
              <w:t>観</w:t>
            </w:r>
            <w:r w:rsidR="000B06D6" w:rsidRPr="00D85DE8">
              <w:rPr>
                <w:rFonts w:ascii="ＭＳ ゴシック" w:eastAsia="ＭＳ ゴシック" w:hAnsi="ＭＳ ゴシック"/>
                <w:sz w:val="18"/>
                <w:szCs w:val="18"/>
              </w:rPr>
              <w:t>点</w:t>
            </w:r>
          </w:p>
        </w:tc>
        <w:tc>
          <w:tcPr>
            <w:tcW w:w="6379" w:type="dxa"/>
          </w:tcPr>
          <w:p w14:paraId="6499D58D" w14:textId="77777777" w:rsidR="000B06D6" w:rsidRPr="00D85DE8" w:rsidRDefault="00D85DE8" w:rsidP="00075DF2">
            <w:pPr>
              <w:jc w:val="center"/>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内容の特色</w:t>
            </w:r>
          </w:p>
        </w:tc>
      </w:tr>
      <w:tr w:rsidR="000B06D6" w:rsidRPr="000B06D6" w14:paraId="439FC56A" w14:textId="77777777" w:rsidTr="00647D27">
        <w:trPr>
          <w:cantSplit/>
          <w:trHeight w:val="1134"/>
        </w:trPr>
        <w:tc>
          <w:tcPr>
            <w:tcW w:w="704" w:type="dxa"/>
            <w:textDirection w:val="tbRlV"/>
          </w:tcPr>
          <w:p w14:paraId="7BCC8251" w14:textId="77777777" w:rsidR="000B06D6" w:rsidRPr="009A0D71" w:rsidRDefault="000B06D6" w:rsidP="00C96E8A">
            <w:pPr>
              <w:spacing w:beforeLines="50" w:before="180"/>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14:paraId="6FB05E86" w14:textId="77777777" w:rsidR="00075DF2" w:rsidRPr="009C2CEA" w:rsidRDefault="009C2CEA" w:rsidP="00647D27">
            <w:pPr>
              <w:spacing w:line="0" w:lineRule="atLeast"/>
              <w:ind w:left="160" w:hangingChars="100" w:hanging="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学習指導要領の教科の目標を達成するため必要な教材が適切に用意されているか。</w:t>
            </w:r>
          </w:p>
          <w:p w14:paraId="5C2739AF" w14:textId="77777777"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基礎的・基本的な知識・技能の理</w:t>
            </w:r>
          </w:p>
          <w:p w14:paraId="67DCC3EA" w14:textId="77777777"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解や習得のための適切な配慮が</w:t>
            </w:r>
          </w:p>
          <w:p w14:paraId="1B54E3F1" w14:textId="77777777"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なされているか。</w:t>
            </w:r>
          </w:p>
          <w:p w14:paraId="22B958AA" w14:textId="77777777"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観察</w:t>
            </w:r>
            <w:r w:rsidR="00D15551">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実験などを行い</w:t>
            </w:r>
            <w:r w:rsidR="00D15551">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科学的に</w:t>
            </w:r>
          </w:p>
          <w:p w14:paraId="3B8B2981" w14:textId="77777777" w:rsidR="00647D27" w:rsidRDefault="00075DF2" w:rsidP="009C2CEA">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探究する力を育成するための適</w:t>
            </w:r>
          </w:p>
          <w:p w14:paraId="64C41918" w14:textId="77777777"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切な配慮がなされているか。</w:t>
            </w:r>
          </w:p>
          <w:p w14:paraId="5203A8C0" w14:textId="77777777"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「主体的・対話的で深い学び」が</w:t>
            </w:r>
          </w:p>
          <w:p w14:paraId="716DB154" w14:textId="77777777"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実現できるよう編集されている</w:t>
            </w:r>
          </w:p>
          <w:p w14:paraId="1838CCB8" w14:textId="77777777"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か。</w:t>
            </w:r>
          </w:p>
          <w:p w14:paraId="56126338" w14:textId="77777777"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発展的な内容の取り扱いに対す</w:t>
            </w:r>
          </w:p>
          <w:p w14:paraId="1A7533E9" w14:textId="77777777"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る適切な配慮がなされている</w:t>
            </w:r>
          </w:p>
          <w:p w14:paraId="1D553FF2" w14:textId="77777777" w:rsidR="000B06D6" w:rsidRP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か。</w:t>
            </w:r>
          </w:p>
        </w:tc>
        <w:tc>
          <w:tcPr>
            <w:tcW w:w="6379" w:type="dxa"/>
          </w:tcPr>
          <w:p w14:paraId="6A82F9A2"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3DAFAA12"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各学習項目の</w:t>
            </w:r>
            <w:r w:rsidR="00D15551">
              <w:rPr>
                <w:rFonts w:ascii="ＭＳ 明朝" w:eastAsia="ＭＳ 明朝" w:hAnsi="ＭＳ 明朝" w:cs="ＭＳ ゴシック" w:hint="eastAsia"/>
                <w:sz w:val="16"/>
                <w:szCs w:val="16"/>
              </w:rPr>
              <w:t>最後（節末）</w:t>
            </w:r>
            <w:r w:rsidR="00075DF2" w:rsidRPr="00D15551">
              <w:rPr>
                <w:rFonts w:ascii="ＭＳ 明朝" w:eastAsia="ＭＳ 明朝" w:hAnsi="ＭＳ 明朝" w:cs="ＭＳ ゴシック" w:hint="eastAsia"/>
                <w:sz w:val="16"/>
                <w:szCs w:val="16"/>
              </w:rPr>
              <w:t>に</w:t>
            </w:r>
            <w:r w:rsid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「この節のポイント」が設けられており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学習内容の要点を押さえることができるように工夫されている。</w:t>
            </w:r>
          </w:p>
          <w:p w14:paraId="171C55CC"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各章末に「まとめ」（用語とその意味の確認）と「章末確認問題」が配置されており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基本的な学習内容の定着が図られるように工夫されている。</w:t>
            </w:r>
          </w:p>
          <w:p w14:paraId="3514441C"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探究の過程に沿った構成で</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適切な箇所に「実験」を設定し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生徒自らが課題を見いだして</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探究的に学習が進められるように工夫されている。安全にも配慮されている。</w:t>
            </w:r>
          </w:p>
          <w:p w14:paraId="6585A735"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「実験」では</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考察への適切なアプローチがあり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生徒自らが結果を分析</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解釈してまとめ</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科学的に探究する力を育成できるように工夫されている。</w:t>
            </w:r>
          </w:p>
          <w:p w14:paraId="536C8F91"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「実験」とは別に短時間でできる実験として「</w:t>
            </w:r>
            <w:r w:rsidR="00CC0536" w:rsidRPr="00D15551">
              <w:rPr>
                <w:rFonts w:ascii="ＭＳ 明朝" w:eastAsia="ＭＳ 明朝" w:hAnsi="ＭＳ 明朝" w:cs="ＭＳ ゴシック" w:hint="eastAsia"/>
                <w:sz w:val="16"/>
                <w:szCs w:val="16"/>
              </w:rPr>
              <w:t>ちょこ</w:t>
            </w:r>
            <w:r w:rsidR="00075DF2" w:rsidRPr="00D15551">
              <w:rPr>
                <w:rFonts w:ascii="ＭＳ 明朝" w:eastAsia="ＭＳ 明朝" w:hAnsi="ＭＳ 明朝" w:cs="ＭＳ ゴシック" w:hint="eastAsia"/>
                <w:sz w:val="16"/>
                <w:szCs w:val="16"/>
              </w:rPr>
              <w:t>ラボ</w:t>
            </w:r>
            <w:r w:rsidR="00CC0536" w:rsidRPr="00D15551">
              <w:rPr>
                <w:rFonts w:ascii="ＭＳ 明朝" w:eastAsia="ＭＳ 明朝" w:hAnsi="ＭＳ 明朝" w:cs="ＭＳ ゴシック" w:hint="eastAsia"/>
                <w:sz w:val="16"/>
                <w:szCs w:val="16"/>
              </w:rPr>
              <w:t>」が</w:t>
            </w:r>
            <w:r w:rsidR="00075DF2" w:rsidRPr="00D15551">
              <w:rPr>
                <w:rFonts w:ascii="ＭＳ 明朝" w:eastAsia="ＭＳ 明朝" w:hAnsi="ＭＳ 明朝" w:cs="ＭＳ ゴシック" w:hint="eastAsia"/>
                <w:sz w:val="16"/>
                <w:szCs w:val="16"/>
              </w:rPr>
              <w:t>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取捨選択しながら授業が進められるよう</w:t>
            </w:r>
            <w:r w:rsidR="00D15551">
              <w:rPr>
                <w:rFonts w:ascii="ＭＳ 明朝" w:eastAsia="ＭＳ 明朝" w:hAnsi="ＭＳ 明朝" w:cs="ＭＳ ゴシック" w:hint="eastAsia"/>
                <w:sz w:val="16"/>
                <w:szCs w:val="16"/>
              </w:rPr>
              <w:t>に工夫</w:t>
            </w:r>
            <w:r w:rsidR="00075DF2" w:rsidRPr="00D15551">
              <w:rPr>
                <w:rFonts w:ascii="ＭＳ 明朝" w:eastAsia="ＭＳ 明朝" w:hAnsi="ＭＳ 明朝" w:cs="ＭＳ ゴシック" w:hint="eastAsia"/>
                <w:sz w:val="16"/>
                <w:szCs w:val="16"/>
              </w:rPr>
              <w:t>されている。</w:t>
            </w:r>
          </w:p>
          <w:p w14:paraId="06CC9C6C" w14:textId="25AB99B4"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sz w:val="16"/>
                <w:szCs w:val="16"/>
              </w:rPr>
              <w:t>巻末には「おうちラボ」があり</w:t>
            </w:r>
            <w:r w:rsidR="00D15551" w:rsidRPr="00D15551">
              <w:rPr>
                <w:rFonts w:ascii="ＭＳ 明朝" w:eastAsia="ＭＳ 明朝" w:hAnsi="ＭＳ 明朝" w:cs="ＭＳ ゴシック"/>
                <w:sz w:val="16"/>
                <w:szCs w:val="16"/>
              </w:rPr>
              <w:t>、</w:t>
            </w:r>
            <w:r w:rsidR="00D15551">
              <w:rPr>
                <w:rFonts w:ascii="ＭＳ 明朝" w:eastAsia="ＭＳ 明朝" w:hAnsi="ＭＳ 明朝" w:cs="ＭＳ ゴシック" w:hint="eastAsia"/>
                <w:sz w:val="16"/>
                <w:szCs w:val="16"/>
              </w:rPr>
              <w:t>生徒の思考力と興味を高められるように工夫</w:t>
            </w:r>
            <w:r w:rsidR="00075DF2" w:rsidRPr="00D15551">
              <w:rPr>
                <w:rFonts w:ascii="ＭＳ 明朝" w:eastAsia="ＭＳ 明朝" w:hAnsi="ＭＳ 明朝" w:cs="ＭＳ ゴシック" w:hint="eastAsia"/>
                <w:sz w:val="16"/>
                <w:szCs w:val="16"/>
              </w:rPr>
              <w:t>されている。</w:t>
            </w:r>
          </w:p>
          <w:p w14:paraId="7299A08A" w14:textId="185FCC4A"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すべての節の冒頭に「</w:t>
            </w:r>
            <w:r w:rsidR="00075DF2" w:rsidRPr="00D15551">
              <w:rPr>
                <w:rFonts w:ascii="ＭＳ 明朝" w:eastAsia="ＭＳ 明朝" w:hAnsi="ＭＳ 明朝" w:cs="ＭＳ ゴシック"/>
                <w:sz w:val="16"/>
                <w:szCs w:val="16"/>
              </w:rPr>
              <w:t>Let</w:t>
            </w:r>
            <w:r w:rsidR="00E4678F">
              <w:rPr>
                <w:rFonts w:ascii="ＭＳ 明朝" w:eastAsia="ＭＳ 明朝" w:hAnsi="ＭＳ 明朝" w:cs="ＭＳ ゴシック"/>
                <w:sz w:val="16"/>
                <w:szCs w:val="16"/>
              </w:rPr>
              <w:t>’</w:t>
            </w:r>
            <w:r w:rsidR="00075DF2" w:rsidRPr="00D15551">
              <w:rPr>
                <w:rFonts w:ascii="ＭＳ 明朝" w:eastAsia="ＭＳ 明朝" w:hAnsi="ＭＳ 明朝" w:cs="ＭＳ ゴシック"/>
                <w:sz w:val="16"/>
                <w:szCs w:val="16"/>
              </w:rPr>
              <w:t>s start！」が配置されており</w:t>
            </w:r>
            <w:r w:rsidR="00D15551" w:rsidRPr="00D15551">
              <w:rPr>
                <w:rFonts w:ascii="ＭＳ 明朝" w:eastAsia="ＭＳ 明朝" w:hAnsi="ＭＳ 明朝" w:cs="ＭＳ ゴシック"/>
                <w:sz w:val="16"/>
                <w:szCs w:val="16"/>
              </w:rPr>
              <w:t>、</w:t>
            </w:r>
            <w:r w:rsidR="00075DF2" w:rsidRPr="00D15551">
              <w:rPr>
                <w:rFonts w:ascii="ＭＳ 明朝" w:eastAsia="ＭＳ 明朝" w:hAnsi="ＭＳ 明朝" w:cs="ＭＳ ゴシック"/>
                <w:sz w:val="16"/>
                <w:szCs w:val="16"/>
              </w:rPr>
              <w:t>身近な自然や日常生活とのつながりを実感</w:t>
            </w:r>
            <w:r w:rsidR="00075DF2" w:rsidRPr="00D15551">
              <w:rPr>
                <w:rFonts w:ascii="ＭＳ 明朝" w:eastAsia="ＭＳ 明朝" w:hAnsi="ＭＳ 明朝" w:cs="ＭＳ ゴシック" w:hint="eastAsia"/>
                <w:sz w:val="16"/>
                <w:szCs w:val="16"/>
              </w:rPr>
              <w:t>できる内容から導入し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学習への意欲を喚起できるように工夫されている。</w:t>
            </w:r>
          </w:p>
          <w:p w14:paraId="0AB0CF03" w14:textId="77777777"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随所にキャラクターが登場して気づきや思考を促すヒントを示し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生徒の主体的・対話的な探究活動をサポートする配慮がなされている。</w:t>
            </w:r>
          </w:p>
          <w:p w14:paraId="3C0269C0" w14:textId="77777777" w:rsidR="000B06D6" w:rsidRPr="009C2CEA"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学習を深めたい箇所には「発展的な学習内容」があり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実態に応じた指導ができるようになっている。</w:t>
            </w:r>
          </w:p>
        </w:tc>
      </w:tr>
      <w:tr w:rsidR="000B06D6" w:rsidRPr="000B06D6" w14:paraId="07209DD4" w14:textId="77777777" w:rsidTr="00647D27">
        <w:trPr>
          <w:cantSplit/>
          <w:trHeight w:val="1134"/>
        </w:trPr>
        <w:tc>
          <w:tcPr>
            <w:tcW w:w="704" w:type="dxa"/>
            <w:textDirection w:val="tbRlV"/>
          </w:tcPr>
          <w:p w14:paraId="6365451A" w14:textId="77777777" w:rsidR="000B06D6" w:rsidRPr="009A0D71" w:rsidRDefault="000B06D6" w:rsidP="00C96E8A">
            <w:pPr>
              <w:spacing w:beforeLines="50" w:before="180"/>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14:paraId="3F18EF3B" w14:textId="77777777" w:rsidR="00647D27" w:rsidRDefault="009C2CEA" w:rsidP="009C2CEA">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075DF2" w:rsidRPr="00075DF2">
              <w:rPr>
                <w:rFonts w:ascii="ＭＳ 明朝" w:eastAsia="ＭＳ 明朝" w:hAnsi="ＭＳ 明朝" w:cs="ＭＳ 明朝" w:hint="eastAsia"/>
                <w:sz w:val="16"/>
                <w:szCs w:val="16"/>
              </w:rPr>
              <w:t>内容の組織・配列は</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学習指導を</w:t>
            </w:r>
          </w:p>
          <w:p w14:paraId="3A9E7CC8" w14:textId="77777777"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有効に進</w:t>
            </w:r>
            <w:r w:rsidRPr="00075DF2">
              <w:rPr>
                <w:rFonts w:ascii="ＭＳ 明朝" w:eastAsia="ＭＳ 明朝" w:hAnsi="ＭＳ 明朝" w:hint="eastAsia"/>
                <w:sz w:val="16"/>
                <w:szCs w:val="16"/>
              </w:rPr>
              <w:t>められるように考慮さ</w:t>
            </w:r>
          </w:p>
          <w:p w14:paraId="6D25D008" w14:textId="77777777" w:rsidR="00075DF2" w:rsidRPr="00075DF2" w:rsidRDefault="00075DF2" w:rsidP="00647D27">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れているか。</w:t>
            </w:r>
          </w:p>
          <w:p w14:paraId="5EAAB8C4"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分量は学習指導を有効に進めら</w:t>
            </w:r>
          </w:p>
          <w:p w14:paraId="567F2CC4" w14:textId="77777777"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れるように</w:t>
            </w:r>
            <w:r w:rsidRPr="00075DF2">
              <w:rPr>
                <w:rFonts w:ascii="ＭＳ 明朝" w:eastAsia="ＭＳ 明朝" w:hAnsi="ＭＳ 明朝" w:hint="eastAsia"/>
                <w:sz w:val="16"/>
                <w:szCs w:val="16"/>
              </w:rPr>
              <w:t>考慮され</w:t>
            </w:r>
            <w:r w:rsidR="00D15551">
              <w:rPr>
                <w:rFonts w:ascii="ＭＳ 明朝" w:eastAsia="ＭＳ 明朝" w:hAnsi="ＭＳ 明朝" w:hint="eastAsia"/>
                <w:sz w:val="16"/>
                <w:szCs w:val="16"/>
              </w:rPr>
              <w:t>、</w:t>
            </w:r>
            <w:r w:rsidRPr="00075DF2">
              <w:rPr>
                <w:rFonts w:ascii="ＭＳ 明朝" w:eastAsia="ＭＳ 明朝" w:hAnsi="ＭＳ 明朝" w:hint="eastAsia"/>
                <w:sz w:val="16"/>
                <w:szCs w:val="16"/>
              </w:rPr>
              <w:t>精選され</w:t>
            </w:r>
          </w:p>
          <w:p w14:paraId="67E534D1" w14:textId="77777777" w:rsidR="00075DF2" w:rsidRPr="00075DF2"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ているか。</w:t>
            </w:r>
          </w:p>
          <w:p w14:paraId="5F28190E"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中学校との接続や他科目との関</w:t>
            </w:r>
          </w:p>
          <w:p w14:paraId="205613D7" w14:textId="77777777"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連など</w:t>
            </w:r>
            <w:r w:rsidR="00D15551">
              <w:rPr>
                <w:rFonts w:ascii="ＭＳ 明朝" w:eastAsia="ＭＳ 明朝" w:hAnsi="ＭＳ 明朝" w:cs="ＭＳ 明朝" w:hint="eastAsia"/>
                <w:sz w:val="16"/>
                <w:szCs w:val="16"/>
              </w:rPr>
              <w:t>、</w:t>
            </w:r>
            <w:r w:rsidRPr="00075DF2">
              <w:rPr>
                <w:rFonts w:ascii="ＭＳ 明朝" w:eastAsia="ＭＳ 明朝" w:hAnsi="ＭＳ 明朝" w:cs="ＭＳ 明朝" w:hint="eastAsia"/>
                <w:sz w:val="16"/>
                <w:szCs w:val="16"/>
              </w:rPr>
              <w:t>カ</w:t>
            </w:r>
            <w:r w:rsidRPr="00075DF2">
              <w:rPr>
                <w:rFonts w:ascii="ＭＳ 明朝" w:eastAsia="ＭＳ 明朝" w:hAnsi="ＭＳ 明朝" w:hint="eastAsia"/>
                <w:sz w:val="16"/>
                <w:szCs w:val="16"/>
              </w:rPr>
              <w:t>リキュラム・マネジメ</w:t>
            </w:r>
          </w:p>
          <w:p w14:paraId="2143EC35" w14:textId="77777777" w:rsidR="00647D27" w:rsidRDefault="00075DF2" w:rsidP="009C2CEA">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ントに対する配慮がなされてい</w:t>
            </w:r>
          </w:p>
          <w:p w14:paraId="45C98392" w14:textId="77777777" w:rsidR="00075DF2" w:rsidRPr="00075DF2" w:rsidRDefault="00075DF2" w:rsidP="009C2CEA">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るか。</w:t>
            </w:r>
          </w:p>
          <w:p w14:paraId="5EC95B78" w14:textId="77777777" w:rsidR="000B06D6"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弾力的な取り扱いに対する配慮がなされて</w:t>
            </w:r>
            <w:r w:rsidR="00075DF2" w:rsidRPr="00075DF2">
              <w:rPr>
                <w:rFonts w:ascii="ＭＳ 明朝" w:eastAsia="ＭＳ 明朝" w:hAnsi="ＭＳ 明朝" w:hint="eastAsia"/>
                <w:sz w:val="16"/>
                <w:szCs w:val="16"/>
              </w:rPr>
              <w:t>いるか。</w:t>
            </w:r>
          </w:p>
        </w:tc>
        <w:tc>
          <w:tcPr>
            <w:tcW w:w="6379" w:type="dxa"/>
          </w:tcPr>
          <w:p w14:paraId="6DC6E5DB" w14:textId="77777777"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本文は丁寧に記述され</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生徒自らが読み進め</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理解できるようになっている。</w:t>
            </w:r>
          </w:p>
          <w:p w14:paraId="026CE58B" w14:textId="77777777"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節の構成が</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w:t>
            </w:r>
            <w:r w:rsidR="00075DF2" w:rsidRPr="00D15551">
              <w:rPr>
                <w:rFonts w:ascii="ＭＳ 明朝" w:eastAsia="ＭＳ 明朝" w:hAnsi="ＭＳ 明朝"/>
                <w:sz w:val="16"/>
                <w:szCs w:val="16"/>
              </w:rPr>
              <w:t>Let’s start！」→「？」（学習の問い）→（「実験」）→本文→「！」（この節のポイント）」</w:t>
            </w:r>
            <w:r w:rsidR="00075DF2" w:rsidRPr="00D15551">
              <w:rPr>
                <w:rFonts w:ascii="ＭＳ 明朝" w:eastAsia="ＭＳ 明朝" w:hAnsi="ＭＳ 明朝" w:hint="eastAsia"/>
                <w:sz w:val="16"/>
                <w:szCs w:val="16"/>
              </w:rPr>
              <w:t>で構成されており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生徒が主体的に課題を見いだして学習を進められるように工夫されている。</w:t>
            </w:r>
          </w:p>
          <w:p w14:paraId="26AEB707" w14:textId="7207EF7A"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巻末資料には</w:t>
            </w:r>
            <w:r w:rsidR="00D15551" w:rsidRPr="00D15551">
              <w:rPr>
                <w:rFonts w:ascii="ＭＳ 明朝" w:eastAsia="ＭＳ 明朝" w:hAnsi="ＭＳ 明朝" w:cs="ＭＳ 明朝" w:hint="eastAsia"/>
                <w:sz w:val="16"/>
                <w:szCs w:val="16"/>
              </w:rPr>
              <w:t>、</w:t>
            </w:r>
            <w:r w:rsidR="00E4678F" w:rsidRPr="00D15551">
              <w:rPr>
                <w:rFonts w:ascii="ＭＳ 明朝" w:eastAsia="ＭＳ 明朝" w:hAnsi="ＭＳ 明朝" w:hint="eastAsia"/>
                <w:sz w:val="16"/>
                <w:szCs w:val="16"/>
              </w:rPr>
              <w:t>「</w:t>
            </w:r>
            <w:r w:rsidR="00E4678F">
              <w:rPr>
                <w:rFonts w:ascii="ＭＳ 明朝" w:eastAsia="ＭＳ 明朝" w:hAnsi="ＭＳ 明朝" w:hint="eastAsia"/>
                <w:sz w:val="16"/>
                <w:szCs w:val="16"/>
              </w:rPr>
              <w:t>探究活動の進め方</w:t>
            </w:r>
            <w:r w:rsidR="00E4678F" w:rsidRPr="00D15551">
              <w:rPr>
                <w:rFonts w:ascii="ＭＳ 明朝" w:eastAsia="ＭＳ 明朝" w:hAnsi="ＭＳ 明朝" w:hint="eastAsia"/>
                <w:sz w:val="16"/>
                <w:szCs w:val="16"/>
              </w:rPr>
              <w:t>」</w:t>
            </w:r>
            <w:r w:rsidR="00075DF2" w:rsidRPr="00D15551">
              <w:rPr>
                <w:rFonts w:ascii="ＭＳ 明朝" w:eastAsia="ＭＳ 明朝" w:hAnsi="ＭＳ 明朝" w:cs="ＭＳ 明朝" w:hint="eastAsia"/>
                <w:sz w:val="16"/>
                <w:szCs w:val="16"/>
              </w:rPr>
              <w:t>「観察実験を行う際の注意</w:t>
            </w:r>
            <w:r w:rsidR="00075DF2" w:rsidRPr="00D15551">
              <w:rPr>
                <w:rFonts w:ascii="ＭＳ 明朝" w:eastAsia="ＭＳ 明朝" w:hAnsi="ＭＳ 明朝" w:hint="eastAsia"/>
                <w:sz w:val="16"/>
                <w:szCs w:val="16"/>
              </w:rPr>
              <w:t>」「実験の基本操作」など</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学習を進めるにあたっての必要な情報が記載されている。</w:t>
            </w:r>
          </w:p>
          <w:p w14:paraId="17B03D7F" w14:textId="19E52CA2"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E4678F">
              <w:rPr>
                <w:rFonts w:ascii="ＭＳ 明朝" w:eastAsia="ＭＳ 明朝" w:hAnsi="ＭＳ 明朝" w:cs="Malgun Gothic" w:hint="eastAsia"/>
                <w:sz w:val="16"/>
                <w:szCs w:val="16"/>
              </w:rPr>
              <w:t>56</w:t>
            </w:r>
            <w:r w:rsidR="00075DF2" w:rsidRPr="00D15551">
              <w:rPr>
                <w:rFonts w:ascii="ＭＳ 明朝" w:eastAsia="ＭＳ 明朝" w:hAnsi="ＭＳ 明朝"/>
                <w:sz w:val="16"/>
                <w:szCs w:val="16"/>
              </w:rPr>
              <w:t>節構成となっており</w:t>
            </w:r>
            <w:r w:rsidR="00D15551" w:rsidRPr="00D15551">
              <w:rPr>
                <w:rFonts w:ascii="ＭＳ 明朝" w:eastAsia="ＭＳ 明朝" w:hAnsi="ＭＳ 明朝"/>
                <w:sz w:val="16"/>
                <w:szCs w:val="16"/>
              </w:rPr>
              <w:t>、</w:t>
            </w:r>
            <w:r w:rsidR="00075DF2" w:rsidRPr="00D15551">
              <w:rPr>
                <w:rFonts w:ascii="ＭＳ 明朝" w:eastAsia="ＭＳ 明朝" w:hAnsi="ＭＳ 明朝"/>
                <w:sz w:val="16"/>
                <w:szCs w:val="16"/>
              </w:rPr>
              <w:t>全生徒が無理なく学べる内容・分量になっている。</w:t>
            </w:r>
          </w:p>
          <w:p w14:paraId="5F33F339" w14:textId="0C27102A"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中学校</w:t>
            </w:r>
            <w:r w:rsidR="00E4678F">
              <w:rPr>
                <w:rFonts w:ascii="ＭＳ 明朝" w:eastAsia="ＭＳ 明朝" w:hAnsi="ＭＳ 明朝" w:cs="ＭＳ 明朝" w:hint="eastAsia"/>
                <w:sz w:val="16"/>
                <w:szCs w:val="16"/>
              </w:rPr>
              <w:t>や化学基礎</w:t>
            </w:r>
            <w:r w:rsidR="00075DF2" w:rsidRPr="00D15551">
              <w:rPr>
                <w:rFonts w:ascii="ＭＳ 明朝" w:eastAsia="ＭＳ 明朝" w:hAnsi="ＭＳ 明朝" w:cs="ＭＳ 明朝" w:hint="eastAsia"/>
                <w:sz w:val="16"/>
                <w:szCs w:val="16"/>
              </w:rPr>
              <w:t>での既習の内容を振り返り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抵抗なく学習が進められるよう</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随所に「</w:t>
            </w:r>
            <w:r w:rsidR="00CC0536" w:rsidRPr="00D15551">
              <w:rPr>
                <w:rFonts w:ascii="ＭＳ 明朝" w:eastAsia="ＭＳ 明朝" w:hAnsi="ＭＳ 明朝" w:cs="ＭＳ 明朝" w:hint="eastAsia"/>
                <w:sz w:val="16"/>
                <w:szCs w:val="16"/>
              </w:rPr>
              <w:t>復習</w:t>
            </w:r>
            <w:r w:rsidR="00075DF2" w:rsidRPr="00D15551">
              <w:rPr>
                <w:rFonts w:ascii="ＭＳ 明朝" w:eastAsia="ＭＳ 明朝" w:hAnsi="ＭＳ 明朝" w:cs="ＭＳ 明朝" w:hint="eastAsia"/>
                <w:sz w:val="16"/>
                <w:szCs w:val="16"/>
              </w:rPr>
              <w:t>」</w:t>
            </w:r>
            <w:r w:rsidR="00075DF2" w:rsidRPr="00D15551">
              <w:rPr>
                <w:rFonts w:ascii="ＭＳ 明朝" w:eastAsia="ＭＳ 明朝" w:hAnsi="ＭＳ 明朝" w:hint="eastAsia"/>
                <w:sz w:val="16"/>
                <w:szCs w:val="16"/>
              </w:rPr>
              <w:t>が設けられている。また</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二次元コードで中学校理科教科書</w:t>
            </w:r>
            <w:r w:rsidR="00E4678F">
              <w:rPr>
                <w:rFonts w:ascii="ＭＳ 明朝" w:eastAsia="ＭＳ 明朝" w:hAnsi="ＭＳ 明朝" w:hint="eastAsia"/>
                <w:sz w:val="16"/>
                <w:szCs w:val="16"/>
              </w:rPr>
              <w:t>、化学基礎教科書</w:t>
            </w:r>
            <w:r w:rsidR="00075DF2" w:rsidRPr="00D15551">
              <w:rPr>
                <w:rFonts w:ascii="ＭＳ 明朝" w:eastAsia="ＭＳ 明朝" w:hAnsi="ＭＳ 明朝" w:hint="eastAsia"/>
                <w:sz w:val="16"/>
                <w:szCs w:val="16"/>
              </w:rPr>
              <w:t>の「学習のまとめ」の紙面を確認できるように工夫されている。</w:t>
            </w:r>
          </w:p>
          <w:p w14:paraId="6706B37D" w14:textId="79D70629" w:rsidR="000B06D6" w:rsidRPr="009A0D7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w:t>
            </w:r>
            <w:r w:rsidR="00E4678F">
              <w:rPr>
                <w:rFonts w:ascii="ＭＳ 明朝" w:eastAsia="ＭＳ 明朝" w:hAnsi="ＭＳ 明朝" w:cs="ＭＳ 明朝" w:hint="eastAsia"/>
                <w:sz w:val="16"/>
                <w:szCs w:val="16"/>
              </w:rPr>
              <w:t>ちょこ</w:t>
            </w:r>
            <w:r w:rsidR="00075DF2" w:rsidRPr="00D15551">
              <w:rPr>
                <w:rFonts w:ascii="ＭＳ 明朝" w:eastAsia="ＭＳ 明朝" w:hAnsi="ＭＳ 明朝" w:cs="ＭＳ 明朝" w:hint="eastAsia"/>
                <w:sz w:val="16"/>
                <w:szCs w:val="16"/>
              </w:rPr>
              <w:t>ラボ」が適所に配置されており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生徒の興味・関心</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授</w:t>
            </w:r>
            <w:r w:rsidR="00075DF2" w:rsidRPr="00D15551">
              <w:rPr>
                <w:rFonts w:ascii="ＭＳ 明朝" w:eastAsia="ＭＳ 明朝" w:hAnsi="ＭＳ 明朝" w:hint="eastAsia"/>
                <w:sz w:val="16"/>
                <w:szCs w:val="16"/>
              </w:rPr>
              <w:t>業や学習の進度に応じて取り組むことができるように配慮されている。</w:t>
            </w:r>
          </w:p>
        </w:tc>
      </w:tr>
      <w:tr w:rsidR="000B06D6" w:rsidRPr="00072565" w14:paraId="0A855C98" w14:textId="77777777" w:rsidTr="00647D27">
        <w:trPr>
          <w:cantSplit/>
          <w:trHeight w:val="1134"/>
        </w:trPr>
        <w:tc>
          <w:tcPr>
            <w:tcW w:w="704" w:type="dxa"/>
            <w:textDirection w:val="tbRlV"/>
          </w:tcPr>
          <w:p w14:paraId="09537236" w14:textId="77777777" w:rsidR="000B06D6" w:rsidRPr="009A0D71" w:rsidRDefault="000B06D6" w:rsidP="00C96E8A">
            <w:pPr>
              <w:spacing w:beforeLines="50" w:before="180"/>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14:paraId="61512AD3"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学習意欲を高めるための配慮が</w:t>
            </w:r>
          </w:p>
          <w:p w14:paraId="01E4DD1D" w14:textId="77777777"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なされてい</w:t>
            </w:r>
            <w:r w:rsidRPr="00075DF2">
              <w:rPr>
                <w:rFonts w:ascii="ＭＳ 明朝" w:eastAsia="ＭＳ 明朝" w:hAnsi="ＭＳ 明朝" w:cs="游明朝" w:hint="eastAsia"/>
                <w:sz w:val="16"/>
                <w:szCs w:val="16"/>
              </w:rPr>
              <w:t>るか。</w:t>
            </w:r>
          </w:p>
          <w:p w14:paraId="440349B2"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個に応じた指導への工夫がなさ</w:t>
            </w:r>
          </w:p>
          <w:p w14:paraId="4D2F194B" w14:textId="77777777"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ＭＳ 明朝" w:hint="eastAsia"/>
                <w:sz w:val="16"/>
                <w:szCs w:val="16"/>
              </w:rPr>
              <w:t>れているか。</w:t>
            </w:r>
          </w:p>
          <w:p w14:paraId="22EA24BF"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生徒の自学自習への配慮や工夫</w:t>
            </w:r>
          </w:p>
          <w:p w14:paraId="0B906657" w14:textId="77777777"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ＭＳ 明朝" w:hint="eastAsia"/>
                <w:sz w:val="16"/>
                <w:szCs w:val="16"/>
              </w:rPr>
              <w:t>がなされて</w:t>
            </w:r>
            <w:r w:rsidRPr="00075DF2">
              <w:rPr>
                <w:rFonts w:ascii="ＭＳ 明朝" w:eastAsia="ＭＳ 明朝" w:hAnsi="ＭＳ 明朝" w:cs="游明朝" w:hint="eastAsia"/>
                <w:sz w:val="16"/>
                <w:szCs w:val="16"/>
              </w:rPr>
              <w:t>いるか。</w:t>
            </w:r>
          </w:p>
          <w:p w14:paraId="3DB2DEDD"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持続可能な社会をつくる力を育</w:t>
            </w:r>
          </w:p>
          <w:p w14:paraId="121C9429" w14:textId="77777777" w:rsidR="00647D27"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成するため</w:t>
            </w:r>
            <w:r w:rsidRPr="00075DF2">
              <w:rPr>
                <w:rFonts w:ascii="ＭＳ 明朝" w:eastAsia="ＭＳ 明朝" w:hAnsi="ＭＳ 明朝" w:cs="游明朝" w:hint="eastAsia"/>
                <w:sz w:val="16"/>
                <w:szCs w:val="16"/>
              </w:rPr>
              <w:t>の工夫がなされてい</w:t>
            </w:r>
          </w:p>
          <w:p w14:paraId="6D6CB47F" w14:textId="77777777"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游明朝" w:hint="eastAsia"/>
                <w:sz w:val="16"/>
                <w:szCs w:val="16"/>
              </w:rPr>
              <w:t>るか。</w:t>
            </w:r>
          </w:p>
          <w:p w14:paraId="7E55508A"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用語・記号の取り上げ方や記述の</w:t>
            </w:r>
          </w:p>
          <w:p w14:paraId="29FFA742" w14:textId="77777777"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しかたは</w:t>
            </w:r>
            <w:r w:rsidRPr="00075DF2">
              <w:rPr>
                <w:rFonts w:ascii="ＭＳ 明朝" w:eastAsia="ＭＳ 明朝" w:hAnsi="ＭＳ 明朝" w:cs="游明朝" w:hint="eastAsia"/>
                <w:sz w:val="16"/>
                <w:szCs w:val="16"/>
              </w:rPr>
              <w:t>適切か。</w:t>
            </w:r>
          </w:p>
          <w:p w14:paraId="4FC062D2"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文章</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図やイラストは</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わかりや</w:t>
            </w:r>
          </w:p>
          <w:p w14:paraId="229BF5F2" w14:textId="77777777"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すいもの</w:t>
            </w:r>
            <w:r w:rsidRPr="00075DF2">
              <w:rPr>
                <w:rFonts w:ascii="ＭＳ 明朝" w:eastAsia="ＭＳ 明朝" w:hAnsi="ＭＳ 明朝" w:cs="游明朝" w:hint="eastAsia"/>
                <w:sz w:val="16"/>
                <w:szCs w:val="16"/>
              </w:rPr>
              <w:t>になっているか。</w:t>
            </w:r>
          </w:p>
          <w:p w14:paraId="54370EB8"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コンピュータやインターネット</w:t>
            </w:r>
          </w:p>
          <w:p w14:paraId="5F3C7F76" w14:textId="77777777" w:rsidR="00647D27"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など</w:t>
            </w:r>
            <w:r w:rsidR="00D15551">
              <w:rPr>
                <w:rFonts w:ascii="ＭＳ 明朝" w:eastAsia="ＭＳ 明朝" w:hAnsi="ＭＳ 明朝" w:cs="ＭＳ 明朝" w:hint="eastAsia"/>
                <w:sz w:val="16"/>
                <w:szCs w:val="16"/>
              </w:rPr>
              <w:t>、</w:t>
            </w:r>
            <w:r w:rsidRPr="00075DF2">
              <w:rPr>
                <w:rFonts w:ascii="ＭＳ 明朝" w:eastAsia="ＭＳ 明朝" w:hAnsi="ＭＳ 明朝" w:cs="游明朝"/>
                <w:sz w:val="16"/>
                <w:szCs w:val="16"/>
              </w:rPr>
              <w:t>ICT</w:t>
            </w:r>
            <w:r w:rsidRPr="00075DF2">
              <w:rPr>
                <w:rFonts w:ascii="ＭＳ 明朝" w:eastAsia="ＭＳ 明朝" w:hAnsi="ＭＳ 明朝" w:cs="游明朝" w:hint="eastAsia"/>
                <w:sz w:val="16"/>
                <w:szCs w:val="16"/>
              </w:rPr>
              <w:t>の効果的な活用への配</w:t>
            </w:r>
          </w:p>
          <w:p w14:paraId="2EF2AACF" w14:textId="77777777" w:rsidR="00075DF2" w:rsidRPr="00075DF2"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游明朝" w:hint="eastAsia"/>
                <w:sz w:val="16"/>
                <w:szCs w:val="16"/>
              </w:rPr>
              <w:t>慮や工夫がなされているか。</w:t>
            </w:r>
          </w:p>
          <w:p w14:paraId="2E8F91FB" w14:textId="77777777"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指導書や周辺教材での工夫や配</w:t>
            </w:r>
          </w:p>
          <w:p w14:paraId="54E0084C" w14:textId="77777777" w:rsidR="000B06D6" w:rsidRPr="009A0D71"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慮がなされ</w:t>
            </w:r>
            <w:r w:rsidRPr="00075DF2">
              <w:rPr>
                <w:rFonts w:ascii="ＭＳ 明朝" w:eastAsia="ＭＳ 明朝" w:hAnsi="ＭＳ 明朝" w:cs="游明朝" w:hint="eastAsia"/>
                <w:sz w:val="16"/>
                <w:szCs w:val="16"/>
              </w:rPr>
              <w:t>ているか。</w:t>
            </w:r>
          </w:p>
        </w:tc>
        <w:tc>
          <w:tcPr>
            <w:tcW w:w="6379" w:type="dxa"/>
          </w:tcPr>
          <w:p w14:paraId="31AB3BB4" w14:textId="08FC48E8"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E4678F">
              <w:rPr>
                <w:rFonts w:ascii="ＭＳ 明朝" w:eastAsia="ＭＳ 明朝" w:hAnsi="ＭＳ 明朝" w:cs="ＭＳ ゴシック" w:hint="eastAsia"/>
                <w:sz w:val="16"/>
                <w:szCs w:val="16"/>
              </w:rPr>
              <w:t>「図説化学」では、学習した内容を視覚的かつ系統的に整理し、学習内容のより定着する工夫がされている。</w:t>
            </w:r>
          </w:p>
          <w:p w14:paraId="111E380B" w14:textId="1142A524"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AF34D7">
              <w:rPr>
                <w:rFonts w:ascii="ＭＳ 明朝" w:eastAsia="ＭＳ 明朝" w:hAnsi="ＭＳ 明朝" w:cs="ＭＳ ゴシック" w:hint="eastAsia"/>
                <w:sz w:val="16"/>
                <w:szCs w:val="16"/>
              </w:rPr>
              <w:t>「化学×仕事」</w:t>
            </w:r>
            <w:r w:rsidR="00AF34D7" w:rsidRPr="00D15551">
              <w:rPr>
                <w:rFonts w:ascii="ＭＳ 明朝" w:eastAsia="ＭＳ 明朝" w:hAnsi="ＭＳ 明朝" w:cs="ＭＳ 明朝" w:hint="eastAsia"/>
                <w:sz w:val="16"/>
                <w:szCs w:val="16"/>
              </w:rPr>
              <w:t>では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学習内容に関係する職業とそこで働く人が紹介されており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学習意欲を高められるように</w:t>
            </w:r>
            <w:r w:rsidR="00075DF2" w:rsidRPr="00D15551">
              <w:rPr>
                <w:rFonts w:ascii="ＭＳ 明朝" w:eastAsia="ＭＳ 明朝" w:hAnsi="ＭＳ 明朝" w:cs="游明朝" w:hint="eastAsia"/>
                <w:sz w:val="16"/>
                <w:szCs w:val="16"/>
              </w:rPr>
              <w:t>工夫</w:t>
            </w:r>
            <w:r w:rsidR="00D15551">
              <w:rPr>
                <w:rFonts w:ascii="ＭＳ 明朝" w:eastAsia="ＭＳ 明朝" w:hAnsi="ＭＳ 明朝" w:cs="游明朝" w:hint="eastAsia"/>
                <w:sz w:val="16"/>
                <w:szCs w:val="16"/>
              </w:rPr>
              <w:t>されている</w:t>
            </w:r>
            <w:r w:rsidR="00075DF2" w:rsidRPr="00D15551">
              <w:rPr>
                <w:rFonts w:ascii="ＭＳ 明朝" w:eastAsia="ＭＳ 明朝" w:hAnsi="ＭＳ 明朝" w:cs="游明朝" w:hint="eastAsia"/>
                <w:sz w:val="16"/>
                <w:szCs w:val="16"/>
              </w:rPr>
              <w:t>。</w:t>
            </w:r>
          </w:p>
          <w:p w14:paraId="4F58B4B1"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節ごとに「？」（学習の問い）と「！」（この節のポイント）が設けられており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生徒が課題意識をもち</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游明朝" w:hint="eastAsia"/>
                <w:sz w:val="16"/>
                <w:szCs w:val="16"/>
              </w:rPr>
              <w:t>見通しをもって学習を進めるとともに</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学習内容の要点を押さえられるように工夫されている。</w:t>
            </w:r>
          </w:p>
          <w:p w14:paraId="1918DB12"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「おうちラボ」では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自宅でもできる実験を安全に配慮して扱っている。また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観察・実験ごとに</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事</w:t>
            </w:r>
            <w:r w:rsidR="00075DF2" w:rsidRPr="00D15551">
              <w:rPr>
                <w:rFonts w:ascii="ＭＳ 明朝" w:eastAsia="ＭＳ 明朝" w:hAnsi="ＭＳ 明朝" w:cs="游明朝" w:hint="eastAsia"/>
                <w:sz w:val="16"/>
                <w:szCs w:val="16"/>
              </w:rPr>
              <w:t>故防止の注意マークを目立つように付している。</w:t>
            </w:r>
          </w:p>
          <w:p w14:paraId="6999032D"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各章末の「</w:t>
            </w:r>
            <w:r w:rsidR="00D15551">
              <w:rPr>
                <w:rFonts w:ascii="ＭＳ 明朝" w:eastAsia="ＭＳ 明朝" w:hAnsi="ＭＳ 明朝" w:cs="ＭＳ 明朝" w:hint="eastAsia"/>
                <w:sz w:val="16"/>
                <w:szCs w:val="16"/>
              </w:rPr>
              <w:t>章末確認問題</w:t>
            </w:r>
            <w:r w:rsidR="00075DF2" w:rsidRPr="00D15551">
              <w:rPr>
                <w:rFonts w:ascii="ＭＳ 明朝" w:eastAsia="ＭＳ 明朝" w:hAnsi="ＭＳ 明朝" w:cs="ＭＳ 明朝" w:hint="eastAsia"/>
                <w:sz w:val="16"/>
                <w:szCs w:val="16"/>
              </w:rPr>
              <w:t>」は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巻末に解答が示されており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自学自習への配慮がなされている。</w:t>
            </w:r>
          </w:p>
          <w:p w14:paraId="2E1BB3AF" w14:textId="77777777" w:rsidR="00075DF2" w:rsidRPr="00D15551" w:rsidRDefault="00AF34D7" w:rsidP="00647D27">
            <w:pPr>
              <w:spacing w:line="0" w:lineRule="atLeast"/>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w:t>
            </w:r>
            <w:r w:rsidR="00075DF2" w:rsidRPr="00D15551">
              <w:rPr>
                <w:rFonts w:ascii="ＭＳ 明朝" w:eastAsia="ＭＳ 明朝" w:hAnsi="ＭＳ 明朝" w:cs="游明朝"/>
                <w:sz w:val="16"/>
                <w:szCs w:val="16"/>
              </w:rPr>
              <w:t>SDGsに関連する内容も取り上げるとともにマークを付して強</w:t>
            </w:r>
            <w:r w:rsidR="00075DF2" w:rsidRPr="00D15551">
              <w:rPr>
                <w:rFonts w:ascii="ＭＳ 明朝" w:eastAsia="ＭＳ 明朝" w:hAnsi="ＭＳ 明朝" w:cs="游明朝" w:hint="eastAsia"/>
                <w:sz w:val="16"/>
                <w:szCs w:val="16"/>
              </w:rPr>
              <w:t>調し</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意識を高めることができるように工夫されている。</w:t>
            </w:r>
          </w:p>
          <w:p w14:paraId="77C90E59"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重要用語や物質名</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読みにくい漢字には振り仮名を付けている。また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振り仮名などの小さな文字に</w:t>
            </w:r>
            <w:r w:rsidR="00075DF2" w:rsidRPr="00D15551">
              <w:rPr>
                <w:rFonts w:ascii="ＭＳ 明朝" w:eastAsia="ＭＳ 明朝" w:hAnsi="ＭＳ 明朝" w:cs="游明朝" w:hint="eastAsia"/>
                <w:sz w:val="16"/>
                <w:szCs w:val="16"/>
              </w:rPr>
              <w:t>は</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ユニバーサルデザインフォントを使用している。</w:t>
            </w:r>
          </w:p>
          <w:p w14:paraId="77385B00"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文章は丁寧でわかりやすい表現になっている。また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簡潔でわかりやすい図やイラストが随所に掲載</w:t>
            </w:r>
            <w:r w:rsidR="00075DF2" w:rsidRPr="00D15551">
              <w:rPr>
                <w:rFonts w:ascii="ＭＳ 明朝" w:eastAsia="ＭＳ 明朝" w:hAnsi="ＭＳ 明朝" w:cs="游明朝" w:hint="eastAsia"/>
                <w:sz w:val="16"/>
                <w:szCs w:val="16"/>
              </w:rPr>
              <w:t>されている。</w:t>
            </w:r>
          </w:p>
          <w:p w14:paraId="4807F3C7" w14:textId="77777777"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中学校での既習の内容</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観察・実験の方法や結果</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教科書の図版だけでは理解しにくい内容などにつ</w:t>
            </w:r>
            <w:r w:rsidR="00075DF2" w:rsidRPr="00D15551">
              <w:rPr>
                <w:rFonts w:ascii="ＭＳ 明朝" w:eastAsia="ＭＳ 明朝" w:hAnsi="ＭＳ 明朝" w:cs="游明朝" w:hint="eastAsia"/>
                <w:sz w:val="16"/>
                <w:szCs w:val="16"/>
              </w:rPr>
              <w:t>いて</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二次元コードで情報を収集したり</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動画で確認したり</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アニメーションなどで理解を深めたりできるように工夫されている。</w:t>
            </w:r>
          </w:p>
          <w:p w14:paraId="741FFEF8" w14:textId="77777777" w:rsidR="000B06D6" w:rsidRPr="008B0650" w:rsidRDefault="009C2CEA" w:rsidP="008B0650">
            <w:pPr>
              <w:spacing w:line="0" w:lineRule="atLeast"/>
              <w:ind w:left="133" w:hangingChars="83" w:hanging="133"/>
              <w:rPr>
                <w:rFonts w:ascii="ＭＳ 明朝" w:eastAsia="ＭＳ 明朝" w:hAnsi="ＭＳ 明朝" w:cs="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指導資料</w:t>
            </w:r>
            <w:r w:rsidR="008B0650">
              <w:rPr>
                <w:rFonts w:ascii="ＭＳ 明朝" w:eastAsia="ＭＳ 明朝" w:hAnsi="ＭＳ 明朝" w:cs="ＭＳ 明朝" w:hint="eastAsia"/>
                <w:sz w:val="16"/>
                <w:szCs w:val="16"/>
              </w:rPr>
              <w:t>については、</w:t>
            </w:r>
            <w:r w:rsidR="00075DF2" w:rsidRPr="00D15551">
              <w:rPr>
                <w:rFonts w:ascii="ＭＳ 明朝" w:eastAsia="ＭＳ 明朝" w:hAnsi="ＭＳ 明朝" w:cs="ＭＳ 明朝" w:hint="eastAsia"/>
                <w:sz w:val="16"/>
                <w:szCs w:val="16"/>
              </w:rPr>
              <w:t>「授業プリント」や「デジタル板書」</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「動画」などのデジタル教材が充実しており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游明朝"/>
                <w:sz w:val="16"/>
                <w:szCs w:val="16"/>
              </w:rPr>
              <w:t>ICT</w:t>
            </w:r>
            <w:r w:rsidR="00075DF2" w:rsidRPr="00D15551">
              <w:rPr>
                <w:rFonts w:ascii="ＭＳ 明朝" w:eastAsia="ＭＳ 明朝" w:hAnsi="ＭＳ 明朝" w:cs="游明朝" w:hint="eastAsia"/>
                <w:sz w:val="16"/>
                <w:szCs w:val="16"/>
              </w:rPr>
              <w:t>を活用した授業に対応している。オンラインでの授業への対応も可能である。</w:t>
            </w:r>
          </w:p>
        </w:tc>
      </w:tr>
      <w:tr w:rsidR="000B06D6" w:rsidRPr="000B06D6" w14:paraId="2D6838C1" w14:textId="77777777" w:rsidTr="00647D27">
        <w:trPr>
          <w:cantSplit/>
          <w:trHeight w:val="1975"/>
        </w:trPr>
        <w:tc>
          <w:tcPr>
            <w:tcW w:w="704" w:type="dxa"/>
            <w:textDirection w:val="tbRlV"/>
          </w:tcPr>
          <w:p w14:paraId="393DE74B" w14:textId="77777777" w:rsidR="000B06D6" w:rsidRPr="009A0D71" w:rsidRDefault="000B06D6" w:rsidP="00C96E8A">
            <w:pPr>
              <w:spacing w:beforeLines="50" w:before="180"/>
              <w:ind w:left="113" w:right="113"/>
              <w:jc w:val="left"/>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印刷・造本上の配慮</w:t>
            </w:r>
          </w:p>
        </w:tc>
        <w:tc>
          <w:tcPr>
            <w:tcW w:w="2693" w:type="dxa"/>
          </w:tcPr>
          <w:p w14:paraId="16DF0B4E" w14:textId="77777777" w:rsidR="00075DF2" w:rsidRPr="00075DF2"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印刷の鮮明さ</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活字の大きさ</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行間</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製本</w:t>
            </w:r>
            <w:r w:rsidR="00075DF2" w:rsidRPr="00075DF2">
              <w:rPr>
                <w:rFonts w:ascii="ＭＳ 明朝" w:eastAsia="ＭＳ 明朝" w:hAnsi="ＭＳ 明朝" w:hint="eastAsia"/>
                <w:sz w:val="16"/>
                <w:szCs w:val="16"/>
              </w:rPr>
              <w:t>などは適切か。</w:t>
            </w:r>
          </w:p>
          <w:p w14:paraId="05C167C3" w14:textId="77777777" w:rsidR="000B06D6"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環境保全や生徒の多様な特性に</w:t>
            </w:r>
            <w:r w:rsidR="00075DF2" w:rsidRPr="00075DF2">
              <w:rPr>
                <w:rFonts w:ascii="ＭＳ 明朝" w:eastAsia="ＭＳ 明朝" w:hAnsi="ＭＳ 明朝" w:hint="eastAsia"/>
                <w:sz w:val="16"/>
                <w:szCs w:val="16"/>
              </w:rPr>
              <w:t>対して配慮しているか</w:t>
            </w:r>
            <w:r w:rsidR="00C96E8A">
              <w:rPr>
                <w:rFonts w:ascii="ＭＳ 明朝" w:eastAsia="ＭＳ 明朝" w:hAnsi="ＭＳ 明朝" w:hint="eastAsia"/>
                <w:sz w:val="16"/>
                <w:szCs w:val="16"/>
              </w:rPr>
              <w:t>。</w:t>
            </w:r>
          </w:p>
        </w:tc>
        <w:tc>
          <w:tcPr>
            <w:tcW w:w="6379" w:type="dxa"/>
          </w:tcPr>
          <w:p w14:paraId="67B64EB2" w14:textId="77777777"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製本は針金を使用せず接着剤で製本してあり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金属を使用しないことによるリサイクル性を重視して</w:t>
            </w:r>
            <w:r w:rsidR="00075DF2" w:rsidRPr="00D15551">
              <w:rPr>
                <w:rFonts w:ascii="ＭＳ 明朝" w:eastAsia="ＭＳ 明朝" w:hAnsi="ＭＳ 明朝" w:hint="eastAsia"/>
                <w:sz w:val="16"/>
                <w:szCs w:val="16"/>
              </w:rPr>
              <w:t>いる。</w:t>
            </w:r>
          </w:p>
          <w:p w14:paraId="57F5FEF8" w14:textId="77777777" w:rsidR="00075DF2" w:rsidRPr="00D15551" w:rsidRDefault="009C2CEA" w:rsidP="00647D27">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本の中心までページを開くことができる製</w:t>
            </w:r>
            <w:r w:rsidR="00075DF2" w:rsidRPr="00D15551">
              <w:rPr>
                <w:rFonts w:ascii="ＭＳ 明朝" w:eastAsia="ＭＳ 明朝" w:hAnsi="ＭＳ 明朝" w:hint="eastAsia"/>
                <w:sz w:val="16"/>
                <w:szCs w:val="16"/>
              </w:rPr>
              <w:t>本のため</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生徒が使いやすくなっている。</w:t>
            </w:r>
          </w:p>
          <w:p w14:paraId="1343570C" w14:textId="77777777"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生徒の負担に配慮し</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紙は品質を保持しつつ軽量な紙を使用している。</w:t>
            </w:r>
          </w:p>
          <w:p w14:paraId="196F30DE" w14:textId="77777777"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用紙には再生紙を</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インキには植物油インキを使用している。</w:t>
            </w:r>
          </w:p>
          <w:p w14:paraId="59B26F64" w14:textId="77777777" w:rsidR="000B06D6" w:rsidRPr="00D15551" w:rsidRDefault="009C2CEA" w:rsidP="00D16064">
            <w:pPr>
              <w:spacing w:line="0" w:lineRule="atLeast"/>
              <w:ind w:leftChars="1" w:left="133" w:hangingChars="82" w:hanging="131"/>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レイアウト</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色づかいなど</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ユニバーサルデザインに配慮されている。また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見や</w:t>
            </w:r>
            <w:r w:rsidR="00075DF2" w:rsidRPr="00D15551">
              <w:rPr>
                <w:rFonts w:ascii="ＭＳ 明朝" w:eastAsia="ＭＳ 明朝" w:hAnsi="ＭＳ 明朝" w:hint="eastAsia"/>
                <w:sz w:val="16"/>
                <w:szCs w:val="16"/>
              </w:rPr>
              <w:t>すく読み間違えにくいユニバーサルデザインフォントを使用している。</w:t>
            </w:r>
          </w:p>
        </w:tc>
      </w:tr>
      <w:tr w:rsidR="000B06D6" w:rsidRPr="000B06D6" w14:paraId="1E56025B" w14:textId="77777777" w:rsidTr="00647D27">
        <w:trPr>
          <w:cantSplit/>
          <w:trHeight w:val="1134"/>
        </w:trPr>
        <w:tc>
          <w:tcPr>
            <w:tcW w:w="704" w:type="dxa"/>
            <w:textDirection w:val="tbRlV"/>
          </w:tcPr>
          <w:p w14:paraId="12560D65" w14:textId="77777777" w:rsidR="000B06D6" w:rsidRPr="009A0D71" w:rsidRDefault="000B06D6" w:rsidP="00C96E8A">
            <w:pPr>
              <w:spacing w:beforeLines="50" w:before="180"/>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14:paraId="0A4CA7E6" w14:textId="77777777" w:rsidR="009A0D71"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上記観点からみた</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全体的・総合的な当教</w:t>
            </w:r>
            <w:r w:rsidR="00075DF2" w:rsidRPr="00075DF2">
              <w:rPr>
                <w:rFonts w:ascii="ＭＳ 明朝" w:eastAsia="ＭＳ 明朝" w:hAnsi="ＭＳ 明朝" w:hint="eastAsia"/>
                <w:sz w:val="16"/>
                <w:szCs w:val="16"/>
              </w:rPr>
              <w:t>科書の特徴。</w:t>
            </w:r>
          </w:p>
        </w:tc>
        <w:tc>
          <w:tcPr>
            <w:tcW w:w="6379" w:type="dxa"/>
          </w:tcPr>
          <w:p w14:paraId="39D1CB9E" w14:textId="77777777"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生徒に難解な印象を与えない構成</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内容で</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学習の</w:t>
            </w:r>
            <w:r w:rsidR="00075DF2" w:rsidRPr="00D15551">
              <w:rPr>
                <w:rFonts w:ascii="ＭＳ 明朝" w:eastAsia="ＭＳ 明朝" w:hAnsi="ＭＳ 明朝" w:hint="eastAsia"/>
                <w:sz w:val="16"/>
                <w:szCs w:val="16"/>
              </w:rPr>
              <w:t>要点が確実に押さえられるとともに</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日常生活や社会と化学を結びつける工夫がされており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生徒が自ら楽しく学習を進め</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確かな力が身につく教科書である。丁寧でわかりやすい文章で展開されており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理科を苦手とする生徒でも読みやすくわかりやすい教科書である。</w:t>
            </w:r>
          </w:p>
          <w:p w14:paraId="407D348E" w14:textId="77777777" w:rsidR="000B06D6"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授業の流れやポイント</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中学校での既習の内容との関連がわかりやすく示されており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教師にとって</w:t>
            </w:r>
            <w:r w:rsidR="00075DF2" w:rsidRPr="00D15551">
              <w:rPr>
                <w:rFonts w:ascii="ＭＳ 明朝" w:eastAsia="ＭＳ 明朝" w:hAnsi="ＭＳ 明朝" w:hint="eastAsia"/>
                <w:sz w:val="16"/>
                <w:szCs w:val="16"/>
              </w:rPr>
              <w:t>指導しやすく</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授業を楽しく豊かにするための参考となる教科書である。</w:t>
            </w:r>
          </w:p>
        </w:tc>
      </w:tr>
    </w:tbl>
    <w:p w14:paraId="64A51D92"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B942" w14:textId="77777777" w:rsidR="005A181F" w:rsidRDefault="005A181F" w:rsidP="00647D27">
      <w:r>
        <w:separator/>
      </w:r>
    </w:p>
  </w:endnote>
  <w:endnote w:type="continuationSeparator" w:id="0">
    <w:p w14:paraId="61AADEFB" w14:textId="77777777" w:rsidR="005A181F" w:rsidRDefault="005A181F" w:rsidP="0064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EDD7" w14:textId="77777777" w:rsidR="005A181F" w:rsidRDefault="005A181F" w:rsidP="00647D27">
      <w:r>
        <w:separator/>
      </w:r>
    </w:p>
  </w:footnote>
  <w:footnote w:type="continuationSeparator" w:id="0">
    <w:p w14:paraId="254A6A1A" w14:textId="77777777" w:rsidR="005A181F" w:rsidRDefault="005A181F" w:rsidP="00647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53AE1"/>
    <w:rsid w:val="00072565"/>
    <w:rsid w:val="00075DF2"/>
    <w:rsid w:val="000B06D6"/>
    <w:rsid w:val="000B0DE7"/>
    <w:rsid w:val="000D1C44"/>
    <w:rsid w:val="0012516D"/>
    <w:rsid w:val="00184D2C"/>
    <w:rsid w:val="001A0481"/>
    <w:rsid w:val="002452C2"/>
    <w:rsid w:val="0028408E"/>
    <w:rsid w:val="003A3743"/>
    <w:rsid w:val="00501E5D"/>
    <w:rsid w:val="0051100E"/>
    <w:rsid w:val="00557FDF"/>
    <w:rsid w:val="00593C29"/>
    <w:rsid w:val="005A181F"/>
    <w:rsid w:val="005A3F2E"/>
    <w:rsid w:val="00636A43"/>
    <w:rsid w:val="00647D27"/>
    <w:rsid w:val="006B3156"/>
    <w:rsid w:val="0072692C"/>
    <w:rsid w:val="00787C57"/>
    <w:rsid w:val="007E5B5B"/>
    <w:rsid w:val="00857C0D"/>
    <w:rsid w:val="008B0650"/>
    <w:rsid w:val="009A0D71"/>
    <w:rsid w:val="009A45FF"/>
    <w:rsid w:val="009C2CEA"/>
    <w:rsid w:val="009D70EB"/>
    <w:rsid w:val="00AF0895"/>
    <w:rsid w:val="00AF34D7"/>
    <w:rsid w:val="00B7281E"/>
    <w:rsid w:val="00B81105"/>
    <w:rsid w:val="00BD6175"/>
    <w:rsid w:val="00C032F0"/>
    <w:rsid w:val="00C96E8A"/>
    <w:rsid w:val="00CC0536"/>
    <w:rsid w:val="00D15551"/>
    <w:rsid w:val="00D16064"/>
    <w:rsid w:val="00D85DE8"/>
    <w:rsid w:val="00E4678F"/>
    <w:rsid w:val="00E82490"/>
    <w:rsid w:val="00EB0F66"/>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BA18C"/>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7D27"/>
    <w:pPr>
      <w:tabs>
        <w:tab w:val="center" w:pos="4252"/>
        <w:tab w:val="right" w:pos="8504"/>
      </w:tabs>
      <w:snapToGrid w:val="0"/>
    </w:pPr>
  </w:style>
  <w:style w:type="character" w:customStyle="1" w:styleId="a5">
    <w:name w:val="ヘッダー (文字)"/>
    <w:basedOn w:val="a0"/>
    <w:link w:val="a4"/>
    <w:uiPriority w:val="99"/>
    <w:rsid w:val="00647D27"/>
  </w:style>
  <w:style w:type="paragraph" w:styleId="a6">
    <w:name w:val="footer"/>
    <w:basedOn w:val="a"/>
    <w:link w:val="a7"/>
    <w:uiPriority w:val="99"/>
    <w:unhideWhenUsed/>
    <w:rsid w:val="00647D27"/>
    <w:pPr>
      <w:tabs>
        <w:tab w:val="center" w:pos="4252"/>
        <w:tab w:val="right" w:pos="8504"/>
      </w:tabs>
      <w:snapToGrid w:val="0"/>
    </w:pPr>
  </w:style>
  <w:style w:type="character" w:customStyle="1" w:styleId="a7">
    <w:name w:val="フッター (文字)"/>
    <w:basedOn w:val="a0"/>
    <w:link w:val="a6"/>
    <w:uiPriority w:val="99"/>
    <w:rsid w:val="00647D27"/>
  </w:style>
  <w:style w:type="paragraph" w:styleId="a8">
    <w:name w:val="Balloon Text"/>
    <w:basedOn w:val="a"/>
    <w:link w:val="a9"/>
    <w:uiPriority w:val="99"/>
    <w:semiHidden/>
    <w:unhideWhenUsed/>
    <w:rsid w:val="00125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5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448</Words>
  <Characters>2558</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2026-03-25T07:05:00Z</cp:lastPrinted>
  <dcterms:created xsi:type="dcterms:W3CDTF">2025-03-10T04:48:00Z</dcterms:created>
  <dcterms:modified xsi:type="dcterms:W3CDTF">2026-03-25T07:05:00Z</dcterms:modified>
</cp:coreProperties>
</file>