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A223" w14:textId="77777777" w:rsidR="00EE757D" w:rsidRPr="000B06D6" w:rsidRDefault="000B06D6">
      <w:pPr>
        <w:rPr>
          <w:rFonts w:ascii="ＭＳ 明朝" w:eastAsia="ＭＳ 明朝" w:hAnsi="ＭＳ 明朝"/>
        </w:rPr>
      </w:pPr>
      <w:r w:rsidRPr="000B06D6">
        <w:rPr>
          <w:rFonts w:ascii="ＭＳ 明朝" w:eastAsia="ＭＳ 明朝" w:hAnsi="ＭＳ 明朝"/>
        </w:rPr>
        <w:t>検討の観点と内容の特色</w:t>
      </w:r>
    </w:p>
    <w:tbl>
      <w:tblPr>
        <w:tblStyle w:val="a3"/>
        <w:tblW w:w="0" w:type="auto"/>
        <w:tblLook w:val="04A0" w:firstRow="1" w:lastRow="0" w:firstColumn="1" w:lastColumn="0" w:noHBand="0" w:noVBand="1"/>
      </w:tblPr>
      <w:tblGrid>
        <w:gridCol w:w="704"/>
        <w:gridCol w:w="1134"/>
        <w:gridCol w:w="709"/>
        <w:gridCol w:w="2126"/>
        <w:gridCol w:w="1559"/>
        <w:gridCol w:w="3402"/>
      </w:tblGrid>
      <w:tr w:rsidR="000B06D6" w:rsidRPr="000B06D6" w14:paraId="734296FB" w14:textId="77777777" w:rsidTr="001D711C">
        <w:tc>
          <w:tcPr>
            <w:tcW w:w="704" w:type="dxa"/>
          </w:tcPr>
          <w:p w14:paraId="40DBC380" w14:textId="77777777" w:rsidR="000B06D6" w:rsidRPr="000B06D6" w:rsidRDefault="000B06D6" w:rsidP="00397FBE">
            <w:pPr>
              <w:jc w:val="center"/>
              <w:rPr>
                <w:rFonts w:ascii="ＭＳ 明朝" w:eastAsia="ＭＳ 明朝" w:hAnsi="ＭＳ 明朝"/>
              </w:rPr>
            </w:pPr>
            <w:r w:rsidRPr="00397FBE">
              <w:rPr>
                <w:rFonts w:ascii="ＭＳ 明朝" w:eastAsia="ＭＳ 明朝" w:hAnsi="ＭＳ 明朝" w:hint="eastAsia"/>
                <w:sz w:val="18"/>
              </w:rPr>
              <w:t>書名</w:t>
            </w:r>
          </w:p>
        </w:tc>
        <w:tc>
          <w:tcPr>
            <w:tcW w:w="1134" w:type="dxa"/>
          </w:tcPr>
          <w:p w14:paraId="49E7D479" w14:textId="24C3F3B1" w:rsidR="000B06D6" w:rsidRPr="00072565" w:rsidRDefault="001D711C">
            <w:pPr>
              <w:rPr>
                <w:rFonts w:ascii="ＭＳ ゴシック" w:eastAsia="ＭＳ ゴシック" w:hAnsi="ＭＳ ゴシック"/>
              </w:rPr>
            </w:pPr>
            <w:r w:rsidRPr="001D711C">
              <w:rPr>
                <w:rFonts w:ascii="ＭＳ ゴシック" w:eastAsia="ＭＳ ゴシック" w:hAnsi="ＭＳ ゴシック" w:hint="eastAsia"/>
                <w:sz w:val="18"/>
                <w:szCs w:val="20"/>
              </w:rPr>
              <w:t>改訂</w:t>
            </w:r>
            <w:r>
              <w:rPr>
                <w:rFonts w:ascii="ＭＳ ゴシック" w:eastAsia="ＭＳ ゴシック" w:hAnsi="ＭＳ ゴシック" w:hint="eastAsia"/>
                <w:sz w:val="18"/>
                <w:szCs w:val="20"/>
              </w:rPr>
              <w:t xml:space="preserve"> </w:t>
            </w:r>
            <w:r w:rsidR="002B64B0" w:rsidRPr="001D711C">
              <w:rPr>
                <w:rFonts w:ascii="ＭＳ ゴシック" w:eastAsia="ＭＳ ゴシック" w:hAnsi="ＭＳ ゴシック" w:hint="eastAsia"/>
                <w:sz w:val="18"/>
                <w:szCs w:val="20"/>
              </w:rPr>
              <w:t>物理</w:t>
            </w:r>
          </w:p>
        </w:tc>
        <w:tc>
          <w:tcPr>
            <w:tcW w:w="709" w:type="dxa"/>
          </w:tcPr>
          <w:p w14:paraId="5DCF1107" w14:textId="77777777" w:rsidR="000B06D6" w:rsidRPr="00397FBE" w:rsidRDefault="000B06D6" w:rsidP="00397FBE">
            <w:pPr>
              <w:jc w:val="center"/>
              <w:rPr>
                <w:rFonts w:ascii="ＭＳ 明朝" w:eastAsia="ＭＳ 明朝" w:hAnsi="ＭＳ 明朝"/>
              </w:rPr>
            </w:pPr>
            <w:r w:rsidRPr="00397FBE">
              <w:rPr>
                <w:rFonts w:ascii="ＭＳ 明朝" w:eastAsia="ＭＳ 明朝" w:hAnsi="ＭＳ 明朝"/>
                <w:sz w:val="18"/>
              </w:rPr>
              <w:t>教番</w:t>
            </w:r>
          </w:p>
        </w:tc>
        <w:tc>
          <w:tcPr>
            <w:tcW w:w="2126" w:type="dxa"/>
          </w:tcPr>
          <w:p w14:paraId="6BCD2909" w14:textId="46011473" w:rsidR="000B06D6" w:rsidRPr="00407FC2" w:rsidRDefault="00B81105">
            <w:pPr>
              <w:rPr>
                <w:rFonts w:ascii="ＭＳ ゴシック" w:eastAsia="ＭＳ ゴシック" w:hAnsi="ＭＳ ゴシック"/>
              </w:rPr>
            </w:pPr>
            <w:r w:rsidRPr="001D711C">
              <w:rPr>
                <w:rFonts w:ascii="ＭＳ ゴシック" w:eastAsia="ＭＳ ゴシック" w:hAnsi="ＭＳ ゴシック"/>
                <w:sz w:val="18"/>
                <w:szCs w:val="20"/>
              </w:rPr>
              <w:t xml:space="preserve">2 </w:t>
            </w:r>
            <w:r w:rsidR="002B64B0" w:rsidRPr="001D711C">
              <w:rPr>
                <w:rFonts w:ascii="ＭＳ ゴシック" w:eastAsia="ＭＳ ゴシック" w:hAnsi="ＭＳ ゴシック"/>
                <w:sz w:val="18"/>
                <w:szCs w:val="20"/>
              </w:rPr>
              <w:t>東書・物</w:t>
            </w:r>
            <w:r w:rsidR="002B64B0" w:rsidRPr="001D711C">
              <w:rPr>
                <w:rFonts w:ascii="ＭＳ ゴシック" w:eastAsia="ＭＳ ゴシック" w:hAnsi="ＭＳ ゴシック" w:hint="eastAsia"/>
                <w:sz w:val="18"/>
                <w:szCs w:val="20"/>
              </w:rPr>
              <w:t>理</w:t>
            </w:r>
            <w:r w:rsidR="001D711C">
              <w:rPr>
                <w:rFonts w:ascii="ＭＳ ゴシック" w:eastAsia="ＭＳ ゴシック" w:hAnsi="ＭＳ ゴシック" w:hint="eastAsia"/>
                <w:sz w:val="18"/>
                <w:szCs w:val="20"/>
              </w:rPr>
              <w:t>002-901</w:t>
            </w:r>
          </w:p>
        </w:tc>
        <w:tc>
          <w:tcPr>
            <w:tcW w:w="1559" w:type="dxa"/>
          </w:tcPr>
          <w:p w14:paraId="38AC22E6" w14:textId="77777777" w:rsidR="000B06D6" w:rsidRPr="00397FBE" w:rsidRDefault="000B06D6" w:rsidP="00397FBE">
            <w:pPr>
              <w:jc w:val="center"/>
              <w:rPr>
                <w:rFonts w:ascii="ＭＳ 明朝" w:eastAsia="ＭＳ 明朝" w:hAnsi="ＭＳ 明朝"/>
              </w:rPr>
            </w:pPr>
            <w:r w:rsidRPr="00397FBE">
              <w:rPr>
                <w:rFonts w:ascii="ＭＳ 明朝" w:eastAsia="ＭＳ 明朝" w:hAnsi="ＭＳ 明朝"/>
                <w:sz w:val="18"/>
              </w:rPr>
              <w:t>判型・ページ数</w:t>
            </w:r>
          </w:p>
        </w:tc>
        <w:tc>
          <w:tcPr>
            <w:tcW w:w="3402" w:type="dxa"/>
          </w:tcPr>
          <w:p w14:paraId="3EC3A94C" w14:textId="0EC61CC0" w:rsidR="00407FC2" w:rsidRPr="00407FC2" w:rsidRDefault="00B81105">
            <w:pPr>
              <w:rPr>
                <w:rFonts w:ascii="ＭＳ ゴシック" w:eastAsia="ＭＳ ゴシック" w:hAnsi="ＭＳ ゴシック"/>
              </w:rPr>
            </w:pPr>
            <w:r w:rsidRPr="001D711C">
              <w:rPr>
                <w:rFonts w:ascii="ＭＳ ゴシック" w:eastAsia="ＭＳ ゴシック" w:hAnsi="ＭＳ ゴシック"/>
                <w:sz w:val="18"/>
                <w:szCs w:val="20"/>
              </w:rPr>
              <w:t>B5変</w:t>
            </w:r>
            <w:r w:rsidR="001D711C">
              <w:rPr>
                <w:rFonts w:ascii="ＭＳ ゴシック" w:eastAsia="ＭＳ ゴシック" w:hAnsi="ＭＳ ゴシック" w:hint="eastAsia"/>
                <w:sz w:val="18"/>
                <w:szCs w:val="20"/>
              </w:rPr>
              <w:t>型</w:t>
            </w:r>
            <w:r w:rsidRPr="001D711C">
              <w:rPr>
                <w:rFonts w:ascii="ＭＳ ゴシック" w:eastAsia="ＭＳ ゴシック" w:hAnsi="ＭＳ ゴシック"/>
                <w:sz w:val="18"/>
                <w:szCs w:val="20"/>
              </w:rPr>
              <w:t>判・</w:t>
            </w:r>
            <w:r w:rsidR="001D711C">
              <w:rPr>
                <w:rFonts w:ascii="ＭＳ ゴシック" w:eastAsia="ＭＳ ゴシック" w:hAnsi="ＭＳ ゴシック" w:hint="eastAsia"/>
                <w:sz w:val="18"/>
                <w:szCs w:val="20"/>
              </w:rPr>
              <w:t>498</w:t>
            </w:r>
            <w:r w:rsidRPr="001D711C">
              <w:rPr>
                <w:rFonts w:ascii="ＭＳ ゴシック" w:eastAsia="ＭＳ ゴシック" w:hAnsi="ＭＳ ゴシック"/>
                <w:sz w:val="18"/>
                <w:szCs w:val="20"/>
              </w:rPr>
              <w:t>ページ</w:t>
            </w:r>
          </w:p>
        </w:tc>
      </w:tr>
    </w:tbl>
    <w:p w14:paraId="5CA71B3C" w14:textId="0F800926" w:rsidR="00407FC2" w:rsidRPr="00397FBE" w:rsidRDefault="00407FC2" w:rsidP="00C163EA">
      <w:pPr>
        <w:tabs>
          <w:tab w:val="left" w:pos="817"/>
          <w:tab w:val="left" w:pos="1951"/>
          <w:tab w:val="left" w:pos="2660"/>
          <w:tab w:val="left" w:pos="4503"/>
          <w:tab w:val="left" w:pos="6204"/>
          <w:tab w:val="right" w:pos="9781"/>
        </w:tabs>
        <w:ind w:left="113"/>
        <w:jc w:val="left"/>
        <w:rPr>
          <w:rFonts w:ascii="ＭＳ 明朝" w:eastAsia="ＭＳ 明朝" w:hAnsi="ＭＳ 明朝"/>
        </w:rPr>
      </w:pPr>
      <w:r w:rsidRPr="00397FBE">
        <w:rPr>
          <w:rFonts w:ascii="ＭＳ 明朝" w:eastAsia="ＭＳ 明朝" w:hAnsi="ＭＳ 明朝" w:hint="eastAsia"/>
          <w:sz w:val="18"/>
        </w:rPr>
        <w:tab/>
      </w:r>
      <w:r w:rsidRPr="00B81105">
        <w:rPr>
          <w:rFonts w:ascii="ＭＳ ゴシック" w:eastAsia="ＭＳ ゴシック" w:hAnsi="ＭＳ ゴシック" w:hint="eastAsia"/>
        </w:rPr>
        <w:tab/>
      </w:r>
      <w:r w:rsidRPr="00397FBE">
        <w:rPr>
          <w:rFonts w:ascii="ＭＳ 明朝" w:eastAsia="ＭＳ 明朝" w:hAnsi="ＭＳ 明朝"/>
          <w:sz w:val="18"/>
        </w:rPr>
        <w:tab/>
      </w:r>
      <w:r w:rsidRPr="00397FBE">
        <w:rPr>
          <w:rFonts w:ascii="ＭＳ 明朝" w:eastAsia="ＭＳ 明朝" w:hAnsi="ＭＳ 明朝"/>
        </w:rPr>
        <w:tab/>
      </w:r>
      <w:r w:rsidRPr="00397FBE">
        <w:rPr>
          <w:rFonts w:ascii="ＭＳ 明朝" w:eastAsia="ＭＳ 明朝" w:hAnsi="ＭＳ 明朝"/>
          <w:sz w:val="18"/>
        </w:rPr>
        <w:tab/>
      </w:r>
      <w:r w:rsidR="00C163EA">
        <w:rPr>
          <w:rFonts w:ascii="ＭＳ 明朝" w:eastAsia="ＭＳ 明朝" w:hAnsi="ＭＳ 明朝"/>
          <w:sz w:val="18"/>
        </w:rPr>
        <w:tab/>
      </w:r>
      <w:r w:rsidR="00C163EA">
        <w:rPr>
          <w:rFonts w:ascii="ＭＳ 明朝" w:eastAsia="ＭＳ 明朝" w:hAnsi="ＭＳ 明朝" w:hint="eastAsia"/>
          <w:sz w:val="18"/>
        </w:rPr>
        <w:t>、</w:t>
      </w:r>
    </w:p>
    <w:tbl>
      <w:tblPr>
        <w:tblStyle w:val="a3"/>
        <w:tblW w:w="0" w:type="auto"/>
        <w:tblLayout w:type="fixed"/>
        <w:tblCellMar>
          <w:left w:w="0" w:type="dxa"/>
          <w:right w:w="0" w:type="dxa"/>
        </w:tblCellMar>
        <w:tblLook w:val="04A0" w:firstRow="1" w:lastRow="0" w:firstColumn="1" w:lastColumn="0" w:noHBand="0" w:noVBand="1"/>
      </w:tblPr>
      <w:tblGrid>
        <w:gridCol w:w="438"/>
        <w:gridCol w:w="2917"/>
        <w:gridCol w:w="6292"/>
      </w:tblGrid>
      <w:tr w:rsidR="000B06D6" w:rsidRPr="000B06D6" w14:paraId="5CB1210F" w14:textId="77777777" w:rsidTr="00F729F5">
        <w:tc>
          <w:tcPr>
            <w:tcW w:w="438" w:type="dxa"/>
            <w:vAlign w:val="center"/>
          </w:tcPr>
          <w:p w14:paraId="11CCB6F9" w14:textId="77777777" w:rsidR="000B06D6" w:rsidRPr="00397FBE" w:rsidRDefault="00397FBE" w:rsidP="00397FBE">
            <w:pPr>
              <w:jc w:val="center"/>
              <w:rPr>
                <w:rFonts w:ascii="ＭＳ ゴシック" w:eastAsia="ＭＳ ゴシック" w:hAnsi="ＭＳ ゴシック"/>
                <w:sz w:val="18"/>
              </w:rPr>
            </w:pPr>
            <w:r w:rsidRPr="00397FBE">
              <w:rPr>
                <w:rFonts w:ascii="ＭＳ ゴシック" w:eastAsia="ＭＳ ゴシック" w:hAnsi="ＭＳ ゴシック" w:hint="eastAsia"/>
                <w:sz w:val="18"/>
              </w:rPr>
              <w:t>項</w:t>
            </w:r>
            <w:r w:rsidR="000B06D6" w:rsidRPr="00397FBE">
              <w:rPr>
                <w:rFonts w:ascii="ＭＳ ゴシック" w:eastAsia="ＭＳ ゴシック" w:hAnsi="ＭＳ ゴシック" w:hint="eastAsia"/>
                <w:sz w:val="18"/>
              </w:rPr>
              <w:t>目</w:t>
            </w:r>
          </w:p>
        </w:tc>
        <w:tc>
          <w:tcPr>
            <w:tcW w:w="2917" w:type="dxa"/>
          </w:tcPr>
          <w:p w14:paraId="759430B1" w14:textId="77777777" w:rsidR="000B06D6" w:rsidRPr="00397FBE" w:rsidRDefault="006D407D" w:rsidP="00397FBE">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397FBE">
              <w:rPr>
                <w:rFonts w:ascii="ＭＳ ゴシック" w:eastAsia="ＭＳ ゴシック" w:hAnsi="ＭＳ ゴシック"/>
                <w:sz w:val="18"/>
              </w:rPr>
              <w:t>点</w:t>
            </w:r>
          </w:p>
        </w:tc>
        <w:tc>
          <w:tcPr>
            <w:tcW w:w="6292" w:type="dxa"/>
          </w:tcPr>
          <w:p w14:paraId="511CE605" w14:textId="77777777" w:rsidR="000B06D6" w:rsidRPr="00397FBE" w:rsidRDefault="00397FBE" w:rsidP="00397FBE">
            <w:pPr>
              <w:jc w:val="center"/>
              <w:rPr>
                <w:rFonts w:ascii="ＭＳ ゴシック" w:eastAsia="ＭＳ ゴシック" w:hAnsi="ＭＳ ゴシック"/>
                <w:sz w:val="18"/>
              </w:rPr>
            </w:pPr>
            <w:r w:rsidRPr="00397FBE">
              <w:rPr>
                <w:rFonts w:ascii="ＭＳ ゴシック" w:eastAsia="ＭＳ ゴシック" w:hAnsi="ＭＳ ゴシック" w:hint="eastAsia"/>
                <w:sz w:val="18"/>
              </w:rPr>
              <w:t>内容の特色</w:t>
            </w:r>
          </w:p>
        </w:tc>
      </w:tr>
      <w:tr w:rsidR="000B06D6" w:rsidRPr="000B06D6" w14:paraId="14C66DB3" w14:textId="77777777" w:rsidTr="00F729F5">
        <w:trPr>
          <w:cantSplit/>
          <w:trHeight w:val="1134"/>
        </w:trPr>
        <w:tc>
          <w:tcPr>
            <w:tcW w:w="438" w:type="dxa"/>
            <w:textDirection w:val="tbRlV"/>
            <w:vAlign w:val="center"/>
          </w:tcPr>
          <w:p w14:paraId="124E3516" w14:textId="77777777" w:rsidR="000B06D6" w:rsidRPr="00072565" w:rsidRDefault="000B06D6" w:rsidP="00F729F5">
            <w:pPr>
              <w:ind w:left="113" w:right="113"/>
              <w:jc w:val="center"/>
              <w:rPr>
                <w:rFonts w:ascii="ＭＳ ゴシック" w:eastAsia="ＭＳ ゴシック" w:hAnsi="ＭＳ ゴシック"/>
                <w:sz w:val="18"/>
                <w:szCs w:val="16"/>
              </w:rPr>
            </w:pPr>
            <w:r w:rsidRPr="00072565">
              <w:rPr>
                <w:rFonts w:ascii="ＭＳ ゴシック" w:eastAsia="ＭＳ ゴシック" w:hAnsi="ＭＳ ゴシック" w:hint="eastAsia"/>
                <w:sz w:val="18"/>
                <w:szCs w:val="16"/>
              </w:rPr>
              <w:t>内容の選択・程度</w:t>
            </w:r>
          </w:p>
        </w:tc>
        <w:tc>
          <w:tcPr>
            <w:tcW w:w="2917" w:type="dxa"/>
          </w:tcPr>
          <w:p w14:paraId="5D575166" w14:textId="77777777"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学習指導要領の教科の目標を達成するため</w:t>
            </w:r>
            <w:r w:rsidR="00B81105" w:rsidRPr="00B81105">
              <w:rPr>
                <w:rFonts w:ascii="ＭＳ 明朝" w:eastAsia="ＭＳ 明朝" w:hAnsi="ＭＳ 明朝" w:hint="eastAsia"/>
                <w:sz w:val="16"/>
                <w:szCs w:val="16"/>
              </w:rPr>
              <w:t>必要な教材が適切に用意されているか。</w:t>
            </w:r>
          </w:p>
          <w:p w14:paraId="79DAB009" w14:textId="77777777"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基礎的・基本的事項の理解や習得のための</w:t>
            </w:r>
            <w:r w:rsidR="00B81105" w:rsidRPr="00B81105">
              <w:rPr>
                <w:rFonts w:ascii="ＭＳ 明朝" w:eastAsia="ＭＳ 明朝" w:hAnsi="ＭＳ 明朝" w:hint="eastAsia"/>
                <w:sz w:val="16"/>
                <w:szCs w:val="16"/>
              </w:rPr>
              <w:t>適切な配慮がなされているか。</w:t>
            </w:r>
          </w:p>
          <w:p w14:paraId="55A03E62" w14:textId="77777777"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発展的な内容の取り扱いに対する適切な配</w:t>
            </w:r>
            <w:r w:rsidR="00B81105" w:rsidRPr="00B81105">
              <w:rPr>
                <w:rFonts w:ascii="ＭＳ 明朝" w:eastAsia="ＭＳ 明朝" w:hAnsi="ＭＳ 明朝" w:hint="eastAsia"/>
                <w:sz w:val="16"/>
                <w:szCs w:val="16"/>
              </w:rPr>
              <w:t>慮がなされているか。</w:t>
            </w:r>
          </w:p>
        </w:tc>
        <w:tc>
          <w:tcPr>
            <w:tcW w:w="6292" w:type="dxa"/>
          </w:tcPr>
          <w:p w14:paraId="7F860BD7" w14:textId="77777777"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14:paraId="548139EE" w14:textId="33377986"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基本概念や法則など物理の系統性が重視されていること</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また</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必要な用語</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内容</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項目がもれなく掲載されていて</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扱いやすい。</w:t>
            </w:r>
          </w:p>
          <w:p w14:paraId="7C983EFE" w14:textId="475A6483"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すべての節の冒頭に</w:t>
            </w:r>
            <w:r w:rsidRPr="00D757C8">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sz w:val="16"/>
                <w:szCs w:val="16"/>
              </w:rPr>
              <w:t>Let's start!」</w:t>
            </w:r>
            <w:r w:rsidRPr="002B64B0">
              <w:rPr>
                <w:rFonts w:ascii="ＭＳ 明朝" w:eastAsia="ＭＳ 明朝" w:hAnsi="ＭＳ 明朝" w:cs="ＭＳ ゴシック"/>
                <w:sz w:val="16"/>
                <w:szCs w:val="16"/>
              </w:rPr>
              <w:t>が配置されており</w:t>
            </w:r>
            <w:r w:rsidR="00C163EA">
              <w:rPr>
                <w:rFonts w:ascii="ＭＳ 明朝" w:eastAsia="ＭＳ 明朝" w:hAnsi="ＭＳ 明朝" w:cs="ＭＳ ゴシック"/>
                <w:sz w:val="16"/>
                <w:szCs w:val="16"/>
              </w:rPr>
              <w:t>、</w:t>
            </w:r>
            <w:r w:rsidRPr="00D757C8">
              <w:rPr>
                <w:rFonts w:ascii="ＭＳ 明朝" w:eastAsia="ＭＳ 明朝" w:hAnsi="ＭＳ 明朝" w:cs="ＭＳ ゴシック"/>
                <w:sz w:val="16"/>
                <w:szCs w:val="16"/>
                <w:u w:val="single"/>
              </w:rPr>
              <w:t>日常生活や社会とのつながりを実感</w:t>
            </w:r>
            <w:r w:rsidRPr="00D757C8">
              <w:rPr>
                <w:rFonts w:ascii="ＭＳ 明朝" w:eastAsia="ＭＳ 明朝" w:hAnsi="ＭＳ 明朝" w:cs="ＭＳ ゴシック" w:hint="eastAsia"/>
                <w:sz w:val="16"/>
                <w:szCs w:val="16"/>
                <w:u w:val="single"/>
              </w:rPr>
              <w:t>できる内容から導入</w:t>
            </w:r>
            <w:r w:rsidRPr="002B64B0">
              <w:rPr>
                <w:rFonts w:ascii="ＭＳ 明朝" w:eastAsia="ＭＳ 明朝" w:hAnsi="ＭＳ 明朝" w:cs="ＭＳ ゴシック" w:hint="eastAsia"/>
                <w:sz w:val="16"/>
                <w:szCs w:val="16"/>
              </w:rPr>
              <w:t>できるように工夫されている。</w:t>
            </w:r>
          </w:p>
          <w:p w14:paraId="77B586D0" w14:textId="31EEF089"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適切な箇所に適切な</w:t>
            </w:r>
            <w:r w:rsidRPr="00D757C8">
              <w:rPr>
                <w:rFonts w:ascii="ＭＳ ゴシック" w:eastAsia="ＭＳ ゴシック" w:hAnsi="ＭＳ ゴシック" w:cs="ＭＳ ゴシック" w:hint="eastAsia"/>
                <w:sz w:val="16"/>
                <w:szCs w:val="16"/>
              </w:rPr>
              <w:t>「実験」</w:t>
            </w:r>
            <w:r w:rsidRPr="002B64B0">
              <w:rPr>
                <w:rFonts w:ascii="ＭＳ 明朝" w:eastAsia="ＭＳ 明朝" w:hAnsi="ＭＳ 明朝" w:cs="ＭＳ ゴシック" w:hint="eastAsia"/>
                <w:sz w:val="16"/>
                <w:szCs w:val="16"/>
              </w:rPr>
              <w:t>が配置されており</w:t>
            </w:r>
            <w:r w:rsidR="00C163EA">
              <w:rPr>
                <w:rFonts w:ascii="ＭＳ 明朝" w:eastAsia="ＭＳ 明朝" w:hAnsi="ＭＳ 明朝" w:cs="ＭＳ ゴシック" w:hint="eastAsia"/>
                <w:sz w:val="16"/>
                <w:szCs w:val="16"/>
              </w:rPr>
              <w:t>、</w:t>
            </w:r>
            <w:r w:rsidRPr="00D757C8">
              <w:rPr>
                <w:rFonts w:ascii="ＭＳ 明朝" w:eastAsia="ＭＳ 明朝" w:hAnsi="ＭＳ 明朝" w:cs="ＭＳ ゴシック" w:hint="eastAsia"/>
                <w:sz w:val="16"/>
                <w:szCs w:val="16"/>
                <w:u w:val="single"/>
              </w:rPr>
              <w:t>思考の過程に沿って</w:t>
            </w:r>
            <w:r w:rsidR="00C163EA">
              <w:rPr>
                <w:rFonts w:ascii="ＭＳ 明朝" w:eastAsia="ＭＳ 明朝" w:hAnsi="ＭＳ 明朝" w:cs="ＭＳ ゴシック" w:hint="eastAsia"/>
                <w:sz w:val="16"/>
                <w:szCs w:val="16"/>
                <w:u w:val="single"/>
              </w:rPr>
              <w:t>、</w:t>
            </w:r>
            <w:r w:rsidRPr="00D757C8">
              <w:rPr>
                <w:rFonts w:ascii="ＭＳ 明朝" w:eastAsia="ＭＳ 明朝" w:hAnsi="ＭＳ 明朝" w:cs="ＭＳ ゴシック" w:hint="eastAsia"/>
                <w:sz w:val="16"/>
                <w:szCs w:val="16"/>
                <w:u w:val="single"/>
              </w:rPr>
              <w:t>生徒自らが課題を見いだして</w:t>
            </w:r>
            <w:r w:rsidR="00C163EA">
              <w:rPr>
                <w:rFonts w:ascii="ＭＳ 明朝" w:eastAsia="ＭＳ 明朝" w:hAnsi="ＭＳ 明朝" w:cs="ＭＳ ゴシック" w:hint="eastAsia"/>
                <w:sz w:val="16"/>
                <w:szCs w:val="16"/>
                <w:u w:val="single"/>
              </w:rPr>
              <w:t>、</w:t>
            </w:r>
            <w:r w:rsidRPr="00D757C8">
              <w:rPr>
                <w:rFonts w:ascii="ＭＳ 明朝" w:eastAsia="ＭＳ 明朝" w:hAnsi="ＭＳ 明朝" w:cs="ＭＳ ゴシック" w:hint="eastAsia"/>
                <w:sz w:val="16"/>
                <w:szCs w:val="16"/>
                <w:u w:val="single"/>
              </w:rPr>
              <w:t>探究的に学習が進められる</w:t>
            </w:r>
            <w:r w:rsidRPr="002B64B0">
              <w:rPr>
                <w:rFonts w:ascii="ＭＳ 明朝" w:eastAsia="ＭＳ 明朝" w:hAnsi="ＭＳ 明朝" w:cs="ＭＳ ゴシック" w:hint="eastAsia"/>
                <w:sz w:val="16"/>
                <w:szCs w:val="16"/>
              </w:rPr>
              <w:t>ように工夫されている。また</w:t>
            </w:r>
            <w:r w:rsidR="00C163EA">
              <w:rPr>
                <w:rFonts w:ascii="ＭＳ 明朝" w:eastAsia="ＭＳ 明朝" w:hAnsi="ＭＳ 明朝" w:cs="ＭＳ ゴシック" w:hint="eastAsia"/>
                <w:sz w:val="16"/>
                <w:szCs w:val="16"/>
              </w:rPr>
              <w:t>、</w:t>
            </w:r>
            <w:r w:rsidRPr="00D757C8">
              <w:rPr>
                <w:rFonts w:ascii="ＭＳ 明朝" w:eastAsia="ＭＳ 明朝" w:hAnsi="ＭＳ 明朝" w:cs="ＭＳ ゴシック" w:hint="eastAsia"/>
                <w:sz w:val="16"/>
                <w:szCs w:val="16"/>
                <w:u w:val="single"/>
              </w:rPr>
              <w:t>生徒どうしが自分の意見を他者と議論する場を設けるような活用も可能であり</w:t>
            </w:r>
            <w:r w:rsidR="00C163EA">
              <w:rPr>
                <w:rFonts w:ascii="ＭＳ 明朝" w:eastAsia="ＭＳ 明朝" w:hAnsi="ＭＳ 明朝" w:cs="ＭＳ ゴシック" w:hint="eastAsia"/>
                <w:sz w:val="16"/>
                <w:szCs w:val="16"/>
                <w:u w:val="single"/>
              </w:rPr>
              <w:t>、</w:t>
            </w:r>
            <w:r w:rsidRPr="00D757C8">
              <w:rPr>
                <w:rFonts w:ascii="ＭＳ 明朝" w:eastAsia="ＭＳ 明朝" w:hAnsi="ＭＳ 明朝" w:cs="ＭＳ ゴシック" w:hint="eastAsia"/>
                <w:sz w:val="16"/>
                <w:szCs w:val="16"/>
                <w:u w:val="single"/>
              </w:rPr>
              <w:t>物理学的な思考力や表現力</w:t>
            </w:r>
            <w:r w:rsidR="00C163EA">
              <w:rPr>
                <w:rFonts w:ascii="ＭＳ 明朝" w:eastAsia="ＭＳ 明朝" w:hAnsi="ＭＳ 明朝" w:cs="ＭＳ ゴシック" w:hint="eastAsia"/>
                <w:sz w:val="16"/>
                <w:szCs w:val="16"/>
                <w:u w:val="single"/>
              </w:rPr>
              <w:t>、</w:t>
            </w:r>
            <w:r w:rsidRPr="00D757C8">
              <w:rPr>
                <w:rFonts w:ascii="ＭＳ 明朝" w:eastAsia="ＭＳ 明朝" w:hAnsi="ＭＳ 明朝" w:cs="ＭＳ ゴシック" w:hint="eastAsia"/>
                <w:sz w:val="16"/>
                <w:szCs w:val="16"/>
                <w:u w:val="single"/>
              </w:rPr>
              <w:t>主体性を育成できる</w:t>
            </w:r>
            <w:r w:rsidRPr="002B64B0">
              <w:rPr>
                <w:rFonts w:ascii="ＭＳ 明朝" w:eastAsia="ＭＳ 明朝" w:hAnsi="ＭＳ 明朝" w:cs="ＭＳ ゴシック" w:hint="eastAsia"/>
                <w:sz w:val="16"/>
                <w:szCs w:val="16"/>
              </w:rPr>
              <w:t>ように配慮されている。</w:t>
            </w:r>
          </w:p>
          <w:p w14:paraId="0A01D32D" w14:textId="0B4296E5"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本文の内容をより深めるために</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適切な箇所に</w:t>
            </w:r>
            <w:r w:rsidRPr="00D757C8">
              <w:rPr>
                <w:rFonts w:ascii="ＭＳ ゴシック" w:eastAsia="ＭＳ ゴシック" w:hAnsi="ＭＳ ゴシック" w:cs="ＭＳ ゴシック" w:hint="eastAsia"/>
                <w:sz w:val="16"/>
                <w:szCs w:val="16"/>
              </w:rPr>
              <w:t>「コラム」</w:t>
            </w:r>
            <w:r w:rsidRPr="002B64B0">
              <w:rPr>
                <w:rFonts w:ascii="ＭＳ 明朝" w:eastAsia="ＭＳ 明朝" w:hAnsi="ＭＳ 明朝" w:cs="ＭＳ ゴシック" w:hint="eastAsia"/>
                <w:sz w:val="16"/>
                <w:szCs w:val="16"/>
              </w:rPr>
              <w:t>が設けられている。</w:t>
            </w:r>
            <w:r w:rsidRPr="00D757C8">
              <w:rPr>
                <w:rFonts w:ascii="ＭＳ 明朝" w:eastAsia="ＭＳ 明朝" w:hAnsi="ＭＳ 明朝" w:cs="ＭＳ ゴシック" w:hint="eastAsia"/>
                <w:sz w:val="16"/>
                <w:szCs w:val="16"/>
                <w:u w:val="single"/>
              </w:rPr>
              <w:t>日常</w:t>
            </w:r>
            <w:r w:rsidR="00C163EA">
              <w:rPr>
                <w:rFonts w:ascii="ＭＳ 明朝" w:eastAsia="ＭＳ 明朝" w:hAnsi="ＭＳ 明朝" w:cs="ＭＳ ゴシック" w:hint="eastAsia"/>
                <w:sz w:val="16"/>
                <w:szCs w:val="16"/>
                <w:u w:val="single"/>
              </w:rPr>
              <w:t>、</w:t>
            </w:r>
            <w:r w:rsidRPr="00D757C8">
              <w:rPr>
                <w:rFonts w:ascii="ＭＳ 明朝" w:eastAsia="ＭＳ 明朝" w:hAnsi="ＭＳ 明朝" w:cs="ＭＳ ゴシック" w:hint="eastAsia"/>
                <w:sz w:val="16"/>
                <w:szCs w:val="16"/>
                <w:u w:val="single"/>
              </w:rPr>
              <w:t>社会</w:t>
            </w:r>
            <w:r w:rsidR="00C163EA">
              <w:rPr>
                <w:rFonts w:ascii="ＭＳ 明朝" w:eastAsia="ＭＳ 明朝" w:hAnsi="ＭＳ 明朝" w:cs="ＭＳ ゴシック" w:hint="eastAsia"/>
                <w:sz w:val="16"/>
                <w:szCs w:val="16"/>
                <w:u w:val="single"/>
              </w:rPr>
              <w:t>、</w:t>
            </w:r>
            <w:r w:rsidRPr="00D757C8">
              <w:rPr>
                <w:rFonts w:ascii="ＭＳ 明朝" w:eastAsia="ＭＳ 明朝" w:hAnsi="ＭＳ 明朝" w:cs="ＭＳ ゴシック" w:hint="eastAsia"/>
                <w:sz w:val="16"/>
                <w:szCs w:val="16"/>
                <w:u w:val="single"/>
              </w:rPr>
              <w:t>科学史など幅広い話題</w:t>
            </w:r>
            <w:r w:rsidRPr="002B64B0">
              <w:rPr>
                <w:rFonts w:ascii="ＭＳ 明朝" w:eastAsia="ＭＳ 明朝" w:hAnsi="ＭＳ 明朝" w:cs="ＭＳ ゴシック" w:hint="eastAsia"/>
                <w:sz w:val="16"/>
                <w:szCs w:val="16"/>
              </w:rPr>
              <w:t>が取り上げられており</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生徒の興味関心を喚起させる内容になっている。</w:t>
            </w:r>
          </w:p>
          <w:p w14:paraId="030F1156" w14:textId="2E23FED8"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本文内には</w:t>
            </w:r>
            <w:r w:rsidR="00C163EA">
              <w:rPr>
                <w:rFonts w:ascii="ＭＳ 明朝" w:eastAsia="ＭＳ 明朝" w:hAnsi="ＭＳ 明朝" w:cs="ＭＳ ゴシック" w:hint="eastAsia"/>
                <w:sz w:val="16"/>
                <w:szCs w:val="16"/>
              </w:rPr>
              <w:t>、</w:t>
            </w:r>
            <w:r w:rsidRPr="00D757C8">
              <w:rPr>
                <w:rFonts w:ascii="ＭＳ ゴシック" w:eastAsia="ＭＳ ゴシック" w:hAnsi="ＭＳ ゴシック" w:cs="ＭＳ ゴシック" w:hint="eastAsia"/>
                <w:sz w:val="16"/>
                <w:szCs w:val="16"/>
              </w:rPr>
              <w:t>「問」</w:t>
            </w:r>
            <w:r w:rsidR="00C163EA">
              <w:rPr>
                <w:rFonts w:ascii="ＭＳ 明朝" w:eastAsia="ＭＳ 明朝" w:hAnsi="ＭＳ 明朝" w:cs="ＭＳ ゴシック" w:hint="eastAsia"/>
                <w:sz w:val="16"/>
                <w:szCs w:val="16"/>
              </w:rPr>
              <w:t>、</w:t>
            </w:r>
            <w:r w:rsidRPr="00D757C8">
              <w:rPr>
                <w:rFonts w:ascii="ＭＳ ゴシック" w:eastAsia="ＭＳ ゴシック" w:hAnsi="ＭＳ ゴシック" w:cs="ＭＳ ゴシック" w:hint="eastAsia"/>
                <w:sz w:val="16"/>
                <w:szCs w:val="16"/>
              </w:rPr>
              <w:t>「例題」</w:t>
            </w:r>
            <w:r w:rsidR="00C163EA">
              <w:rPr>
                <w:rFonts w:ascii="ＭＳ 明朝" w:eastAsia="ＭＳ 明朝" w:hAnsi="ＭＳ 明朝" w:cs="ＭＳ ゴシック" w:hint="eastAsia"/>
                <w:sz w:val="16"/>
                <w:szCs w:val="16"/>
              </w:rPr>
              <w:t>、</w:t>
            </w:r>
            <w:r w:rsidRPr="00D757C8">
              <w:rPr>
                <w:rFonts w:ascii="ＭＳ ゴシック" w:eastAsia="ＭＳ ゴシック" w:hAnsi="ＭＳ ゴシック" w:cs="ＭＳ ゴシック" w:hint="eastAsia"/>
                <w:sz w:val="16"/>
                <w:szCs w:val="16"/>
              </w:rPr>
              <w:t>「類題」</w:t>
            </w:r>
            <w:r w:rsidR="00C163EA">
              <w:rPr>
                <w:rFonts w:ascii="ＭＳ 明朝" w:eastAsia="ＭＳ 明朝" w:hAnsi="ＭＳ 明朝" w:cs="ＭＳ ゴシック" w:hint="eastAsia"/>
                <w:sz w:val="16"/>
                <w:szCs w:val="16"/>
              </w:rPr>
              <w:t>、</w:t>
            </w:r>
            <w:r w:rsidRPr="00D757C8">
              <w:rPr>
                <w:rFonts w:ascii="ＭＳ ゴシック" w:eastAsia="ＭＳ ゴシック" w:hAnsi="ＭＳ ゴシック" w:cs="ＭＳ ゴシック" w:hint="eastAsia"/>
                <w:sz w:val="16"/>
                <w:szCs w:val="16"/>
              </w:rPr>
              <w:t>「正誤問題（〇×問題）」</w:t>
            </w:r>
            <w:r w:rsidR="00C163EA">
              <w:rPr>
                <w:rFonts w:ascii="ＭＳ 明朝" w:eastAsia="ＭＳ 明朝" w:hAnsi="ＭＳ 明朝" w:cs="ＭＳ ゴシック" w:hint="eastAsia"/>
                <w:sz w:val="16"/>
                <w:szCs w:val="16"/>
              </w:rPr>
              <w:t>、</w:t>
            </w:r>
            <w:r w:rsidR="00C163EA" w:rsidRPr="00D757C8">
              <w:rPr>
                <w:rFonts w:ascii="ＭＳ ゴシック" w:eastAsia="ＭＳ ゴシック" w:hAnsi="ＭＳ ゴシック" w:cs="ＭＳ ゴシック" w:hint="eastAsia"/>
                <w:sz w:val="16"/>
                <w:szCs w:val="16"/>
              </w:rPr>
              <w:t>「</w:t>
            </w:r>
            <w:r w:rsidR="00C163EA">
              <w:rPr>
                <w:rFonts w:ascii="ＭＳ ゴシック" w:eastAsia="ＭＳ ゴシック" w:hAnsi="ＭＳ ゴシック" w:cs="ＭＳ ゴシック" w:hint="eastAsia"/>
                <w:sz w:val="16"/>
                <w:szCs w:val="16"/>
              </w:rPr>
              <w:t>ドリル</w:t>
            </w:r>
            <w:r w:rsidR="00C163EA" w:rsidRPr="00D757C8">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各章末には</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その章の学習内容を確認する</w:t>
            </w:r>
            <w:r w:rsidRPr="00D757C8">
              <w:rPr>
                <w:rFonts w:ascii="ＭＳ ゴシック" w:eastAsia="ＭＳ ゴシック" w:hAnsi="ＭＳ ゴシック" w:cs="ＭＳ ゴシック" w:hint="eastAsia"/>
                <w:sz w:val="16"/>
                <w:szCs w:val="16"/>
              </w:rPr>
              <w:t>「章末問題」</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編末には本質の理解を見とることができる</w:t>
            </w:r>
            <w:r w:rsidRPr="00D757C8">
              <w:rPr>
                <w:rFonts w:ascii="ＭＳ ゴシック" w:eastAsia="ＭＳ ゴシック" w:hAnsi="ＭＳ ゴシック" w:cs="ＭＳ ゴシック" w:hint="eastAsia"/>
                <w:sz w:val="16"/>
                <w:szCs w:val="16"/>
              </w:rPr>
              <w:t>「記述問題」</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巻末には</w:t>
            </w:r>
            <w:r w:rsidRPr="00D757C8">
              <w:rPr>
                <w:rFonts w:ascii="ＭＳ ゴシック" w:eastAsia="ＭＳ ゴシック" w:hAnsi="ＭＳ ゴシック" w:cs="ＭＳ ゴシック" w:hint="eastAsia"/>
                <w:sz w:val="16"/>
                <w:szCs w:val="16"/>
              </w:rPr>
              <w:t>「巻末問題」</w:t>
            </w:r>
            <w:r w:rsidRPr="002B64B0">
              <w:rPr>
                <w:rFonts w:ascii="ＭＳ 明朝" w:eastAsia="ＭＳ 明朝" w:hAnsi="ＭＳ 明朝" w:cs="ＭＳ ゴシック" w:hint="eastAsia"/>
                <w:sz w:val="16"/>
                <w:szCs w:val="16"/>
              </w:rPr>
              <w:t>が設けられており</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学習内容の定着が段階を追って図れるように工夫されている。</w:t>
            </w:r>
          </w:p>
          <w:p w14:paraId="7418B541" w14:textId="29D69A7B"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sz w:val="16"/>
                <w:szCs w:val="16"/>
              </w:rPr>
              <w:t>Note」</w:t>
            </w:r>
            <w:r w:rsidRPr="002B64B0">
              <w:rPr>
                <w:rFonts w:ascii="ＭＳ 明朝" w:eastAsia="ＭＳ 明朝" w:hAnsi="ＭＳ 明朝" w:cs="ＭＳ ゴシック"/>
                <w:sz w:val="16"/>
                <w:szCs w:val="16"/>
              </w:rPr>
              <w:t>は</w:t>
            </w:r>
            <w:r w:rsidR="00C163EA">
              <w:rPr>
                <w:rFonts w:ascii="ＭＳ 明朝" w:eastAsia="ＭＳ 明朝" w:hAnsi="ＭＳ 明朝" w:cs="ＭＳ ゴシック"/>
                <w:sz w:val="16"/>
                <w:szCs w:val="16"/>
              </w:rPr>
              <w:t>、</w:t>
            </w:r>
            <w:r w:rsidRPr="00D757C8">
              <w:rPr>
                <w:rFonts w:ascii="ＭＳ 明朝" w:eastAsia="ＭＳ 明朝" w:hAnsi="ＭＳ 明朝" w:cs="ＭＳ ゴシック"/>
                <w:sz w:val="16"/>
                <w:szCs w:val="16"/>
                <w:u w:val="single"/>
              </w:rPr>
              <w:t>生徒のつまずきやすい点を丁寧に補足説明</w:t>
            </w:r>
            <w:r w:rsidRPr="002B64B0">
              <w:rPr>
                <w:rFonts w:ascii="ＭＳ 明朝" w:eastAsia="ＭＳ 明朝" w:hAnsi="ＭＳ 明朝" w:cs="ＭＳ ゴシック"/>
                <w:sz w:val="16"/>
                <w:szCs w:val="16"/>
              </w:rPr>
              <w:t>しており</w:t>
            </w:r>
            <w:r w:rsidR="00C163EA">
              <w:rPr>
                <w:rFonts w:ascii="ＭＳ 明朝" w:eastAsia="ＭＳ 明朝" w:hAnsi="ＭＳ 明朝" w:cs="ＭＳ ゴシック"/>
                <w:sz w:val="16"/>
                <w:szCs w:val="16"/>
              </w:rPr>
              <w:t>、</w:t>
            </w:r>
            <w:r w:rsidRPr="002B64B0">
              <w:rPr>
                <w:rFonts w:ascii="ＭＳ 明朝" w:eastAsia="ＭＳ 明朝" w:hAnsi="ＭＳ 明朝" w:cs="ＭＳ ゴシック"/>
                <w:sz w:val="16"/>
                <w:szCs w:val="16"/>
              </w:rPr>
              <w:t>よく工夫されている。</w:t>
            </w:r>
          </w:p>
          <w:p w14:paraId="72EE747A" w14:textId="458504B6"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hint="eastAsia"/>
                <w:sz w:val="16"/>
                <w:szCs w:val="16"/>
              </w:rPr>
              <w:t>「特集」</w:t>
            </w:r>
            <w:r w:rsidRPr="002B64B0">
              <w:rPr>
                <w:rFonts w:ascii="ＭＳ 明朝" w:eastAsia="ＭＳ 明朝" w:hAnsi="ＭＳ 明朝" w:cs="ＭＳ ゴシック" w:hint="eastAsia"/>
                <w:sz w:val="16"/>
                <w:szCs w:val="16"/>
              </w:rPr>
              <w:t>では</w:t>
            </w:r>
            <w:r w:rsidR="00C163EA">
              <w:rPr>
                <w:rFonts w:ascii="ＭＳ 明朝" w:eastAsia="ＭＳ 明朝" w:hAnsi="ＭＳ 明朝" w:cs="ＭＳ ゴシック" w:hint="eastAsia"/>
                <w:sz w:val="16"/>
                <w:szCs w:val="16"/>
              </w:rPr>
              <w:t>、</w:t>
            </w:r>
            <w:r w:rsidRPr="00D757C8">
              <w:rPr>
                <w:rFonts w:ascii="ＭＳ 明朝" w:eastAsia="ＭＳ 明朝" w:hAnsi="ＭＳ 明朝" w:cs="ＭＳ ゴシック" w:hint="eastAsia"/>
                <w:sz w:val="16"/>
                <w:szCs w:val="16"/>
                <w:u w:val="single"/>
              </w:rPr>
              <w:t>効果的かつ重点的な演習が可能</w:t>
            </w:r>
            <w:r w:rsidRPr="002B64B0">
              <w:rPr>
                <w:rFonts w:ascii="ＭＳ 明朝" w:eastAsia="ＭＳ 明朝" w:hAnsi="ＭＳ 明朝" w:cs="ＭＳ ゴシック" w:hint="eastAsia"/>
                <w:sz w:val="16"/>
                <w:szCs w:val="16"/>
              </w:rPr>
              <w:t>である。</w:t>
            </w:r>
          </w:p>
          <w:p w14:paraId="40F75273" w14:textId="196D60EA"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実験は</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本文中に配置されている「実験」と</w:t>
            </w:r>
            <w:r w:rsidR="00C163EA">
              <w:rPr>
                <w:rFonts w:ascii="ＭＳ 明朝" w:eastAsia="ＭＳ 明朝" w:hAnsi="ＭＳ 明朝" w:cs="ＭＳ ゴシック" w:hint="eastAsia"/>
                <w:sz w:val="16"/>
                <w:szCs w:val="16"/>
              </w:rPr>
              <w:t>、</w:t>
            </w:r>
            <w:r w:rsidRPr="00D757C8">
              <w:rPr>
                <w:rFonts w:ascii="ＭＳ 明朝" w:eastAsia="ＭＳ 明朝" w:hAnsi="ＭＳ 明朝" w:cs="ＭＳ ゴシック" w:hint="eastAsia"/>
                <w:sz w:val="16"/>
                <w:szCs w:val="16"/>
                <w:u w:val="single"/>
              </w:rPr>
              <w:t>身近なものを利用し短時間でできる</w:t>
            </w:r>
            <w:r w:rsidRPr="00D757C8">
              <w:rPr>
                <w:rFonts w:ascii="ＭＳ ゴシック" w:eastAsia="ＭＳ ゴシック" w:hAnsi="ＭＳ ゴシック" w:cs="ＭＳ ゴシック" w:hint="eastAsia"/>
                <w:sz w:val="16"/>
                <w:szCs w:val="16"/>
              </w:rPr>
              <w:t>「やってみよう」</w:t>
            </w:r>
            <w:r w:rsidRPr="002B64B0">
              <w:rPr>
                <w:rFonts w:ascii="ＭＳ 明朝" w:eastAsia="ＭＳ 明朝" w:hAnsi="ＭＳ 明朝" w:cs="ＭＳ ゴシック" w:hint="eastAsia"/>
                <w:sz w:val="16"/>
                <w:szCs w:val="16"/>
              </w:rPr>
              <w:t>があり</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内容・分量ともに適切で</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高い学習効果が得られる。</w:t>
            </w:r>
          </w:p>
          <w:p w14:paraId="6B22CF6E" w14:textId="4A059D2E"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「探究</w:t>
            </w:r>
            <w:r w:rsidRPr="002B64B0">
              <w:rPr>
                <w:rFonts w:ascii="ＭＳ 明朝" w:eastAsia="ＭＳ 明朝" w:hAnsi="ＭＳ 明朝" w:cs="ＭＳ ゴシック"/>
                <w:sz w:val="16"/>
                <w:szCs w:val="16"/>
              </w:rPr>
              <w:t>PLUS」では</w:t>
            </w:r>
            <w:r w:rsidR="00C163EA">
              <w:rPr>
                <w:rFonts w:ascii="ＭＳ 明朝" w:eastAsia="ＭＳ 明朝" w:hAnsi="ＭＳ 明朝" w:cs="ＭＳ ゴシック"/>
                <w:sz w:val="16"/>
                <w:szCs w:val="16"/>
              </w:rPr>
              <w:t>、</w:t>
            </w:r>
            <w:r w:rsidRPr="002B64B0">
              <w:rPr>
                <w:rFonts w:ascii="ＭＳ 明朝" w:eastAsia="ＭＳ 明朝" w:hAnsi="ＭＳ 明朝" w:cs="ＭＳ ゴシック"/>
                <w:sz w:val="16"/>
                <w:szCs w:val="16"/>
              </w:rPr>
              <w:t>現在検討がなされている課題について取り上げ</w:t>
            </w:r>
            <w:r w:rsidR="00C163EA">
              <w:rPr>
                <w:rFonts w:ascii="ＭＳ 明朝" w:eastAsia="ＭＳ 明朝" w:hAnsi="ＭＳ 明朝" w:cs="ＭＳ ゴシック"/>
                <w:sz w:val="16"/>
                <w:szCs w:val="16"/>
              </w:rPr>
              <w:t>、</w:t>
            </w:r>
            <w:r w:rsidRPr="002B64B0">
              <w:rPr>
                <w:rFonts w:ascii="ＭＳ 明朝" w:eastAsia="ＭＳ 明朝" w:hAnsi="ＭＳ 明朝" w:cs="ＭＳ ゴシック"/>
                <w:sz w:val="16"/>
                <w:szCs w:val="16"/>
              </w:rPr>
              <w:t>これからの社会を生</w:t>
            </w:r>
            <w:r w:rsidRPr="002B64B0">
              <w:rPr>
                <w:rFonts w:ascii="ＭＳ 明朝" w:eastAsia="ＭＳ 明朝" w:hAnsi="ＭＳ 明朝" w:cs="ＭＳ ゴシック" w:hint="eastAsia"/>
                <w:sz w:val="16"/>
                <w:szCs w:val="16"/>
              </w:rPr>
              <w:t>きる力や社会における物理学の必要性について</w:t>
            </w:r>
            <w:r w:rsidR="00C163EA">
              <w:rPr>
                <w:rFonts w:ascii="ＭＳ 明朝" w:eastAsia="ＭＳ 明朝" w:hAnsi="ＭＳ 明朝" w:cs="ＭＳ ゴシック" w:hint="eastAsia"/>
                <w:sz w:val="16"/>
                <w:szCs w:val="16"/>
              </w:rPr>
              <w:t>、</w:t>
            </w:r>
            <w:r w:rsidRPr="002B64B0">
              <w:rPr>
                <w:rFonts w:ascii="ＭＳ 明朝" w:eastAsia="ＭＳ 明朝" w:hAnsi="ＭＳ 明朝" w:cs="ＭＳ ゴシック" w:hint="eastAsia"/>
                <w:sz w:val="16"/>
                <w:szCs w:val="16"/>
              </w:rPr>
              <w:t>考えるきっかけとすることができる。</w:t>
            </w:r>
          </w:p>
          <w:p w14:paraId="317C9E02" w14:textId="6775A288" w:rsidR="000B06D6" w:rsidRPr="000B06D6" w:rsidRDefault="002B64B0"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D757C8">
              <w:rPr>
                <w:rFonts w:ascii="ＭＳ 明朝" w:eastAsia="ＭＳ 明朝" w:hAnsi="ＭＳ 明朝" w:cs="ＭＳ ゴシック" w:hint="eastAsia"/>
                <w:sz w:val="16"/>
                <w:szCs w:val="16"/>
                <w:u w:val="single"/>
              </w:rPr>
              <w:t>「発展的な学習内容」</w:t>
            </w:r>
            <w:r w:rsidRPr="002B64B0">
              <w:rPr>
                <w:rFonts w:ascii="ＭＳ 明朝" w:eastAsia="ＭＳ 明朝" w:hAnsi="ＭＳ 明朝" w:cs="ＭＳ ゴシック"/>
                <w:sz w:val="16"/>
                <w:szCs w:val="16"/>
              </w:rPr>
              <w:t>には</w:t>
            </w:r>
            <w:r w:rsidR="00C163EA">
              <w:rPr>
                <w:rFonts w:ascii="ＭＳ 明朝" w:eastAsia="ＭＳ 明朝" w:hAnsi="ＭＳ 明朝" w:cs="ＭＳ ゴシック"/>
                <w:sz w:val="16"/>
                <w:szCs w:val="16"/>
              </w:rPr>
              <w:t>、</w:t>
            </w:r>
            <w:r w:rsidRPr="00D757C8">
              <w:rPr>
                <w:rFonts w:ascii="ＭＳ ゴシック" w:eastAsia="ＭＳ ゴシック" w:hAnsi="ＭＳ ゴシック" w:cs="ＭＳ ゴシック"/>
                <w:sz w:val="16"/>
                <w:szCs w:val="16"/>
              </w:rPr>
              <w:t>「発展」マーク</w:t>
            </w:r>
            <w:r w:rsidRPr="002B64B0">
              <w:rPr>
                <w:rFonts w:ascii="ＭＳ 明朝" w:eastAsia="ＭＳ 明朝" w:hAnsi="ＭＳ 明朝" w:cs="ＭＳ ゴシック"/>
                <w:sz w:val="16"/>
                <w:szCs w:val="16"/>
              </w:rPr>
              <w:t>を付し</w:t>
            </w:r>
            <w:r w:rsidR="00C163EA">
              <w:rPr>
                <w:rFonts w:ascii="ＭＳ 明朝" w:eastAsia="ＭＳ 明朝" w:hAnsi="ＭＳ 明朝" w:cs="ＭＳ ゴシック"/>
                <w:sz w:val="16"/>
                <w:szCs w:val="16"/>
              </w:rPr>
              <w:t>、</w:t>
            </w:r>
            <w:r w:rsidRPr="002B64B0">
              <w:rPr>
                <w:rFonts w:ascii="ＭＳ 明朝" w:eastAsia="ＭＳ 明朝" w:hAnsi="ＭＳ 明朝" w:cs="ＭＳ ゴシック"/>
                <w:sz w:val="16"/>
                <w:szCs w:val="16"/>
              </w:rPr>
              <w:t>必修の学習内容と明確に区分けしている。</w:t>
            </w:r>
          </w:p>
        </w:tc>
      </w:tr>
      <w:tr w:rsidR="000B06D6" w:rsidRPr="000B06D6" w14:paraId="620EF897" w14:textId="77777777" w:rsidTr="00F729F5">
        <w:trPr>
          <w:cantSplit/>
          <w:trHeight w:val="1134"/>
        </w:trPr>
        <w:tc>
          <w:tcPr>
            <w:tcW w:w="438" w:type="dxa"/>
            <w:textDirection w:val="tbRlV"/>
            <w:vAlign w:val="center"/>
          </w:tcPr>
          <w:p w14:paraId="1B6B1DA2" w14:textId="77777777" w:rsidR="000B06D6" w:rsidRPr="00072565" w:rsidRDefault="000B06D6" w:rsidP="00F729F5">
            <w:pPr>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組織・配列・分量</w:t>
            </w:r>
          </w:p>
        </w:tc>
        <w:tc>
          <w:tcPr>
            <w:tcW w:w="2917" w:type="dxa"/>
          </w:tcPr>
          <w:p w14:paraId="775C8CC4" w14:textId="5B2AF228"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内容の組織・配列は</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学習指導を有効に進</w:t>
            </w:r>
            <w:r w:rsidR="00B81105" w:rsidRPr="00B81105">
              <w:rPr>
                <w:rFonts w:ascii="ＭＳ 明朝" w:eastAsia="ＭＳ 明朝" w:hAnsi="ＭＳ 明朝" w:hint="eastAsia"/>
                <w:sz w:val="16"/>
                <w:szCs w:val="16"/>
              </w:rPr>
              <w:t>められるように考慮されているか。</w:t>
            </w:r>
          </w:p>
          <w:p w14:paraId="34912EE5" w14:textId="14208B4A"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分量は学習指導を有効に進められるように</w:t>
            </w:r>
            <w:r w:rsidR="00B81105" w:rsidRPr="00B81105">
              <w:rPr>
                <w:rFonts w:ascii="ＭＳ 明朝" w:eastAsia="ＭＳ 明朝" w:hAnsi="ＭＳ 明朝" w:hint="eastAsia"/>
                <w:sz w:val="16"/>
                <w:szCs w:val="16"/>
              </w:rPr>
              <w:t>考慮され</w:t>
            </w:r>
            <w:r w:rsidR="00C163EA">
              <w:rPr>
                <w:rFonts w:ascii="ＭＳ 明朝" w:eastAsia="ＭＳ 明朝" w:hAnsi="ＭＳ 明朝" w:hint="eastAsia"/>
                <w:sz w:val="16"/>
                <w:szCs w:val="16"/>
              </w:rPr>
              <w:t>、</w:t>
            </w:r>
            <w:r w:rsidR="00B81105" w:rsidRPr="00B81105">
              <w:rPr>
                <w:rFonts w:ascii="ＭＳ 明朝" w:eastAsia="ＭＳ 明朝" w:hAnsi="ＭＳ 明朝" w:hint="eastAsia"/>
                <w:sz w:val="16"/>
                <w:szCs w:val="16"/>
              </w:rPr>
              <w:t>精選されているか。</w:t>
            </w:r>
          </w:p>
          <w:p w14:paraId="40C0CC0D" w14:textId="77777777"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中高の接続に対する配慮がなされているか。</w:t>
            </w:r>
          </w:p>
          <w:p w14:paraId="3F60E5CA" w14:textId="77777777"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弾力的な取り扱いに対する配慮がなされて</w:t>
            </w:r>
            <w:r w:rsidR="00B81105" w:rsidRPr="00B81105">
              <w:rPr>
                <w:rFonts w:ascii="ＭＳ 明朝" w:eastAsia="ＭＳ 明朝" w:hAnsi="ＭＳ 明朝" w:hint="eastAsia"/>
                <w:sz w:val="16"/>
                <w:szCs w:val="16"/>
              </w:rPr>
              <w:t>いるか。</w:t>
            </w:r>
          </w:p>
        </w:tc>
        <w:tc>
          <w:tcPr>
            <w:tcW w:w="6292" w:type="dxa"/>
          </w:tcPr>
          <w:p w14:paraId="035C52C6" w14:textId="35F47CF6"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C163EA">
              <w:rPr>
                <w:rFonts w:ascii="ＭＳ 明朝" w:eastAsia="ＭＳ 明朝" w:hAnsi="ＭＳ 明朝" w:cs="ＭＳ 明朝" w:hint="eastAsia"/>
                <w:sz w:val="16"/>
                <w:szCs w:val="16"/>
                <w:u w:val="single"/>
              </w:rPr>
              <w:t>学習内容に関連する既習事項を確認できる</w:t>
            </w:r>
            <w:r w:rsidR="00B81105" w:rsidRPr="00B81105">
              <w:rPr>
                <w:rFonts w:ascii="ＭＳ 明朝" w:eastAsia="ＭＳ 明朝" w:hAnsi="ＭＳ 明朝" w:cs="ＭＳ 明朝" w:hint="eastAsia"/>
                <w:sz w:val="16"/>
                <w:szCs w:val="16"/>
              </w:rPr>
              <w:t>ように</w:t>
            </w:r>
            <w:r w:rsidR="00B81105" w:rsidRPr="00B7281E">
              <w:rPr>
                <w:rFonts w:ascii="ＭＳ ゴシック" w:eastAsia="ＭＳ ゴシック" w:hAnsi="ＭＳ ゴシック" w:cs="ＭＳ 明朝" w:hint="eastAsia"/>
                <w:sz w:val="16"/>
                <w:szCs w:val="16"/>
              </w:rPr>
              <w:t>「復習」</w:t>
            </w:r>
            <w:r w:rsidR="00B81105" w:rsidRPr="00B81105">
              <w:rPr>
                <w:rFonts w:ascii="ＭＳ 明朝" w:eastAsia="ＭＳ 明朝" w:hAnsi="ＭＳ 明朝" w:cs="ＭＳ 明朝" w:hint="eastAsia"/>
                <w:sz w:val="16"/>
                <w:szCs w:val="16"/>
              </w:rPr>
              <w:t>が設けられている。</w:t>
            </w:r>
          </w:p>
          <w:p w14:paraId="07E027FC" w14:textId="747B3A0B"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学習内容を厳選し</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「発展」を含め</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取捨選択をしながら指導が行えるよう内容を配置</w:t>
            </w:r>
            <w:r w:rsidR="00B81105" w:rsidRPr="00B81105">
              <w:rPr>
                <w:rFonts w:ascii="ＭＳ 明朝" w:eastAsia="ＭＳ 明朝" w:hAnsi="ＭＳ 明朝" w:hint="eastAsia"/>
                <w:sz w:val="16"/>
                <w:szCs w:val="16"/>
              </w:rPr>
              <w:t>している。</w:t>
            </w:r>
          </w:p>
          <w:p w14:paraId="3D6AAEE9" w14:textId="68FECB18"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各編は</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内容のまとまりや順序性</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生徒の関心や興味を考慮し</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いくつかの章に分け</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個々の内容を</w:t>
            </w:r>
            <w:r w:rsidR="00B81105" w:rsidRPr="00B81105">
              <w:rPr>
                <w:rFonts w:ascii="ＭＳ 明朝" w:eastAsia="ＭＳ 明朝" w:hAnsi="ＭＳ 明朝" w:hint="eastAsia"/>
                <w:sz w:val="16"/>
                <w:szCs w:val="16"/>
              </w:rPr>
              <w:t>押さえながら</w:t>
            </w:r>
            <w:r w:rsidR="00C163EA">
              <w:rPr>
                <w:rFonts w:ascii="ＭＳ 明朝" w:eastAsia="ＭＳ 明朝" w:hAnsi="ＭＳ 明朝" w:hint="eastAsia"/>
                <w:sz w:val="16"/>
                <w:szCs w:val="16"/>
              </w:rPr>
              <w:t>、</w:t>
            </w:r>
            <w:r w:rsidR="00B81105" w:rsidRPr="00B81105">
              <w:rPr>
                <w:rFonts w:ascii="ＭＳ 明朝" w:eastAsia="ＭＳ 明朝" w:hAnsi="ＭＳ 明朝" w:hint="eastAsia"/>
                <w:sz w:val="16"/>
                <w:szCs w:val="16"/>
              </w:rPr>
              <w:t>段階を追って学習が進められるようになっている。</w:t>
            </w:r>
          </w:p>
          <w:p w14:paraId="40C4FB9C" w14:textId="07973C6E"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節の構成が</w:t>
            </w:r>
            <w:r w:rsidR="00C163EA">
              <w:rPr>
                <w:rFonts w:ascii="ＭＳ 明朝" w:eastAsia="ＭＳ 明朝" w:hAnsi="ＭＳ 明朝" w:cs="ＭＳ 明朝" w:hint="eastAsia"/>
                <w:sz w:val="16"/>
                <w:szCs w:val="16"/>
              </w:rPr>
              <w:t>、</w:t>
            </w:r>
            <w:r w:rsidR="00B81105" w:rsidRPr="00B7281E">
              <w:rPr>
                <w:rFonts w:ascii="ＭＳ ゴシック" w:eastAsia="ＭＳ ゴシック" w:hAnsi="ＭＳ ゴシック" w:cs="ＭＳ 明朝" w:hint="eastAsia"/>
                <w:sz w:val="16"/>
                <w:szCs w:val="16"/>
              </w:rPr>
              <w:t>「</w:t>
            </w:r>
            <w:r w:rsidR="00D757C8">
              <w:rPr>
                <w:rFonts w:ascii="ＭＳ ゴシック" w:eastAsia="ＭＳ ゴシック" w:hAnsi="ＭＳ ゴシック"/>
                <w:sz w:val="16"/>
                <w:szCs w:val="16"/>
              </w:rPr>
              <w:t>Let</w:t>
            </w:r>
            <w:r w:rsidR="00D757C8" w:rsidRPr="00D757C8">
              <w:rPr>
                <w:rFonts w:ascii="ＭＳ ゴシック" w:eastAsia="ＭＳ ゴシック" w:hAnsi="ＭＳ ゴシック" w:cs="ＭＳ ゴシック"/>
                <w:sz w:val="16"/>
                <w:szCs w:val="16"/>
              </w:rPr>
              <w:t>'s</w:t>
            </w:r>
            <w:r w:rsidR="00B81105" w:rsidRPr="00B7281E">
              <w:rPr>
                <w:rFonts w:ascii="ＭＳ ゴシック" w:eastAsia="ＭＳ ゴシック" w:hAnsi="ＭＳ ゴシック"/>
                <w:sz w:val="16"/>
                <w:szCs w:val="16"/>
              </w:rPr>
              <w:t xml:space="preserve"> start!」→「？」（学習の問い）→（「実験」）→本文→「！」（この節のポイント）で構</w:t>
            </w:r>
            <w:r w:rsidR="00B81105" w:rsidRPr="00B7281E">
              <w:rPr>
                <w:rFonts w:ascii="ＭＳ ゴシック" w:eastAsia="ＭＳ ゴシック" w:hAnsi="ＭＳ ゴシック" w:hint="eastAsia"/>
                <w:sz w:val="16"/>
                <w:szCs w:val="16"/>
              </w:rPr>
              <w:t>成</w:t>
            </w:r>
            <w:r w:rsidR="00B81105" w:rsidRPr="00B81105">
              <w:rPr>
                <w:rFonts w:ascii="ＭＳ 明朝" w:eastAsia="ＭＳ 明朝" w:hAnsi="ＭＳ 明朝" w:hint="eastAsia"/>
                <w:sz w:val="16"/>
                <w:szCs w:val="16"/>
              </w:rPr>
              <w:t>されており</w:t>
            </w:r>
            <w:r w:rsidR="00C163EA">
              <w:rPr>
                <w:rFonts w:ascii="ＭＳ 明朝" w:eastAsia="ＭＳ 明朝" w:hAnsi="ＭＳ 明朝" w:hint="eastAsia"/>
                <w:sz w:val="16"/>
                <w:szCs w:val="16"/>
              </w:rPr>
              <w:t>、</w:t>
            </w:r>
            <w:r w:rsidR="00B81105" w:rsidRPr="00B7281E">
              <w:rPr>
                <w:rFonts w:ascii="ＭＳ 明朝" w:eastAsia="ＭＳ 明朝" w:hAnsi="ＭＳ 明朝" w:hint="eastAsia"/>
                <w:sz w:val="16"/>
                <w:szCs w:val="16"/>
                <w:u w:val="single"/>
              </w:rPr>
              <w:t>生徒が主体的に課題を見いだして学習を進められる</w:t>
            </w:r>
            <w:r w:rsidR="00B81105" w:rsidRPr="00B81105">
              <w:rPr>
                <w:rFonts w:ascii="ＭＳ 明朝" w:eastAsia="ＭＳ 明朝" w:hAnsi="ＭＳ 明朝" w:hint="eastAsia"/>
                <w:sz w:val="16"/>
                <w:szCs w:val="16"/>
              </w:rPr>
              <w:t>ように工夫されている。</w:t>
            </w:r>
          </w:p>
          <w:p w14:paraId="5FF556C7" w14:textId="049B077F" w:rsidR="000B06D6" w:rsidRPr="000B06D6"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7281E">
              <w:rPr>
                <w:rFonts w:ascii="ＭＳ 明朝" w:eastAsia="ＭＳ 明朝" w:hAnsi="ＭＳ 明朝" w:cs="ＭＳ 明朝" w:hint="eastAsia"/>
                <w:sz w:val="16"/>
                <w:szCs w:val="16"/>
                <w:u w:val="single"/>
              </w:rPr>
              <w:t>学習内容を広げたり</w:t>
            </w:r>
            <w:r w:rsidR="00C163EA">
              <w:rPr>
                <w:rFonts w:ascii="ＭＳ 明朝" w:eastAsia="ＭＳ 明朝" w:hAnsi="ＭＳ 明朝" w:cs="ＭＳ 明朝" w:hint="eastAsia"/>
                <w:sz w:val="16"/>
                <w:szCs w:val="16"/>
                <w:u w:val="single"/>
              </w:rPr>
              <w:t>、</w:t>
            </w:r>
            <w:r w:rsidR="00B81105" w:rsidRPr="00B7281E">
              <w:rPr>
                <w:rFonts w:ascii="ＭＳ 明朝" w:eastAsia="ＭＳ 明朝" w:hAnsi="ＭＳ 明朝" w:cs="ＭＳ 明朝" w:hint="eastAsia"/>
                <w:sz w:val="16"/>
                <w:szCs w:val="16"/>
                <w:u w:val="single"/>
              </w:rPr>
              <w:t>深めたり</w:t>
            </w:r>
            <w:r w:rsidR="00C163EA">
              <w:rPr>
                <w:rFonts w:ascii="ＭＳ 明朝" w:eastAsia="ＭＳ 明朝" w:hAnsi="ＭＳ 明朝" w:cs="ＭＳ 明朝" w:hint="eastAsia"/>
                <w:sz w:val="16"/>
                <w:szCs w:val="16"/>
                <w:u w:val="single"/>
              </w:rPr>
              <w:t>、</w:t>
            </w:r>
            <w:r w:rsidR="00B81105" w:rsidRPr="00B7281E">
              <w:rPr>
                <w:rFonts w:ascii="ＭＳ 明朝" w:eastAsia="ＭＳ 明朝" w:hAnsi="ＭＳ 明朝" w:cs="ＭＳ 明朝" w:hint="eastAsia"/>
                <w:sz w:val="16"/>
                <w:szCs w:val="16"/>
                <w:u w:val="single"/>
              </w:rPr>
              <w:t>振り返ったりする</w:t>
            </w:r>
            <w:r w:rsidR="00B81105" w:rsidRPr="00B81105">
              <w:rPr>
                <w:rFonts w:ascii="ＭＳ 明朝" w:eastAsia="ＭＳ 明朝" w:hAnsi="ＭＳ 明朝" w:cs="ＭＳ 明朝" w:hint="eastAsia"/>
                <w:sz w:val="16"/>
                <w:szCs w:val="16"/>
              </w:rPr>
              <w:t>ためのさまざまな</w:t>
            </w:r>
            <w:r w:rsidR="00B81105" w:rsidRPr="00B7281E">
              <w:rPr>
                <w:rFonts w:ascii="ＭＳ ゴシック" w:eastAsia="ＭＳ ゴシック" w:hAnsi="ＭＳ ゴシック" w:cs="ＭＳ 明朝" w:hint="eastAsia"/>
                <w:sz w:val="16"/>
                <w:szCs w:val="16"/>
              </w:rPr>
              <w:t>「活動」（やってみよう</w:t>
            </w:r>
            <w:r w:rsidR="00C163EA">
              <w:rPr>
                <w:rFonts w:ascii="ＭＳ ゴシック" w:eastAsia="ＭＳ ゴシック" w:hAnsi="ＭＳ ゴシック" w:cs="ＭＳ 明朝" w:hint="eastAsia"/>
                <w:sz w:val="16"/>
                <w:szCs w:val="16"/>
              </w:rPr>
              <w:t>、</w:t>
            </w:r>
            <w:r w:rsidR="00B81105" w:rsidRPr="00B7281E">
              <w:rPr>
                <w:rFonts w:ascii="ＭＳ ゴシック" w:eastAsia="ＭＳ ゴシック" w:hAnsi="ＭＳ ゴシック" w:cs="ＭＳ 明朝" w:hint="eastAsia"/>
                <w:sz w:val="16"/>
                <w:szCs w:val="16"/>
              </w:rPr>
              <w:t>考えて</w:t>
            </w:r>
            <w:r w:rsidR="00B81105" w:rsidRPr="00B7281E">
              <w:rPr>
                <w:rFonts w:ascii="ＭＳ ゴシック" w:eastAsia="ＭＳ ゴシック" w:hAnsi="ＭＳ ゴシック" w:hint="eastAsia"/>
                <w:sz w:val="16"/>
                <w:szCs w:val="16"/>
              </w:rPr>
              <w:t>みよう</w:t>
            </w:r>
            <w:r w:rsidR="00C163EA">
              <w:rPr>
                <w:rFonts w:ascii="ＭＳ ゴシック" w:eastAsia="ＭＳ ゴシック" w:hAnsi="ＭＳ ゴシック" w:hint="eastAsia"/>
                <w:sz w:val="16"/>
                <w:szCs w:val="16"/>
              </w:rPr>
              <w:t>、</w:t>
            </w:r>
            <w:r w:rsidR="00B81105" w:rsidRPr="00B7281E">
              <w:rPr>
                <w:rFonts w:ascii="ＭＳ ゴシック" w:eastAsia="ＭＳ ゴシック" w:hAnsi="ＭＳ ゴシック" w:hint="eastAsia"/>
                <w:sz w:val="16"/>
                <w:szCs w:val="16"/>
              </w:rPr>
              <w:t>調べてみよう）</w:t>
            </w:r>
            <w:r w:rsidR="00B81105" w:rsidRPr="00B81105">
              <w:rPr>
                <w:rFonts w:ascii="ＭＳ 明朝" w:eastAsia="ＭＳ 明朝" w:hAnsi="ＭＳ 明朝" w:hint="eastAsia"/>
                <w:sz w:val="16"/>
                <w:szCs w:val="16"/>
              </w:rPr>
              <w:t>が適切な箇所に配置されており</w:t>
            </w:r>
            <w:r w:rsidR="00C163EA">
              <w:rPr>
                <w:rFonts w:ascii="ＭＳ 明朝" w:eastAsia="ＭＳ 明朝" w:hAnsi="ＭＳ 明朝" w:hint="eastAsia"/>
                <w:sz w:val="16"/>
                <w:szCs w:val="16"/>
              </w:rPr>
              <w:t>、</w:t>
            </w:r>
            <w:r w:rsidR="00B81105" w:rsidRPr="00B81105">
              <w:rPr>
                <w:rFonts w:ascii="ＭＳ 明朝" w:eastAsia="ＭＳ 明朝" w:hAnsi="ＭＳ 明朝" w:hint="eastAsia"/>
                <w:sz w:val="16"/>
                <w:szCs w:val="16"/>
              </w:rPr>
              <w:t>授業や学習の進度に応じて取り組むことができるように配慮されている。</w:t>
            </w:r>
          </w:p>
        </w:tc>
      </w:tr>
      <w:tr w:rsidR="000B06D6" w:rsidRPr="00072565" w14:paraId="7247D15D" w14:textId="77777777" w:rsidTr="00F729F5">
        <w:trPr>
          <w:cantSplit/>
          <w:trHeight w:val="1134"/>
        </w:trPr>
        <w:tc>
          <w:tcPr>
            <w:tcW w:w="438" w:type="dxa"/>
            <w:textDirection w:val="tbRlV"/>
            <w:vAlign w:val="center"/>
          </w:tcPr>
          <w:p w14:paraId="7363B310" w14:textId="77777777" w:rsidR="000B06D6" w:rsidRPr="00072565" w:rsidRDefault="000B06D6" w:rsidP="00F729F5">
            <w:pPr>
              <w:spacing w:line="0" w:lineRule="atLeast"/>
              <w:ind w:left="113" w:right="113"/>
              <w:jc w:val="center"/>
              <w:rPr>
                <w:rFonts w:ascii="ＭＳ ゴシック" w:eastAsia="ＭＳ ゴシック" w:hAnsi="ＭＳ ゴシック"/>
                <w:sz w:val="16"/>
                <w:szCs w:val="16"/>
              </w:rPr>
            </w:pPr>
            <w:r w:rsidRPr="00072565">
              <w:rPr>
                <w:rFonts w:ascii="ＭＳ ゴシック" w:eastAsia="ＭＳ ゴシック" w:hAnsi="ＭＳ ゴシック"/>
                <w:sz w:val="18"/>
                <w:szCs w:val="16"/>
              </w:rPr>
              <w:t>表記・表現及び指導に対する工夫や配慮</w:t>
            </w:r>
          </w:p>
        </w:tc>
        <w:tc>
          <w:tcPr>
            <w:tcW w:w="2917" w:type="dxa"/>
          </w:tcPr>
          <w:p w14:paraId="52D95077" w14:textId="77777777"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学習意欲を高めるための配慮がなされてい</w:t>
            </w:r>
            <w:r w:rsidR="00B81105" w:rsidRPr="00B81105">
              <w:rPr>
                <w:rFonts w:ascii="ＭＳ 明朝" w:eastAsia="ＭＳ 明朝" w:hAnsi="ＭＳ 明朝" w:hint="eastAsia"/>
                <w:sz w:val="16"/>
                <w:szCs w:val="16"/>
              </w:rPr>
              <w:t>るか。</w:t>
            </w:r>
          </w:p>
          <w:p w14:paraId="75F0D58C" w14:textId="77777777"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用語・記号の取り上げ方や記述のしかたは</w:t>
            </w:r>
            <w:r w:rsidR="00B81105" w:rsidRPr="00B81105">
              <w:rPr>
                <w:rFonts w:ascii="ＭＳ 明朝" w:eastAsia="ＭＳ 明朝" w:hAnsi="ＭＳ 明朝" w:hint="eastAsia"/>
                <w:sz w:val="16"/>
                <w:szCs w:val="16"/>
              </w:rPr>
              <w:t>適切か。</w:t>
            </w:r>
          </w:p>
          <w:p w14:paraId="333D406A" w14:textId="77777777"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生徒の自学自習への配慮や工夫がなされて</w:t>
            </w:r>
            <w:r w:rsidR="00B81105" w:rsidRPr="00B81105">
              <w:rPr>
                <w:rFonts w:ascii="ＭＳ 明朝" w:eastAsia="ＭＳ 明朝" w:hAnsi="ＭＳ 明朝" w:hint="eastAsia"/>
                <w:sz w:val="16"/>
                <w:szCs w:val="16"/>
              </w:rPr>
              <w:t>いるか。</w:t>
            </w:r>
          </w:p>
          <w:p w14:paraId="4FDCF35B" w14:textId="77777777"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指導書や周辺教材での工夫や配慮がなされ</w:t>
            </w:r>
            <w:r w:rsidR="00B81105" w:rsidRPr="00B81105">
              <w:rPr>
                <w:rFonts w:ascii="ＭＳ 明朝" w:eastAsia="ＭＳ 明朝" w:hAnsi="ＭＳ 明朝" w:hint="eastAsia"/>
                <w:sz w:val="16"/>
                <w:szCs w:val="16"/>
              </w:rPr>
              <w:t>ているか。</w:t>
            </w:r>
          </w:p>
        </w:tc>
        <w:tc>
          <w:tcPr>
            <w:tcW w:w="6292" w:type="dxa"/>
          </w:tcPr>
          <w:p w14:paraId="6A70C385" w14:textId="659DE0F8"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各章の始まりには</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身に付けてほしい科学の見方・考え方</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その面白さを実感できるようになされて</w:t>
            </w:r>
            <w:r w:rsidR="00B81105" w:rsidRPr="00B81105">
              <w:rPr>
                <w:rFonts w:ascii="ＭＳ 明朝" w:eastAsia="ＭＳ 明朝" w:hAnsi="ＭＳ 明朝" w:hint="eastAsia"/>
                <w:sz w:val="16"/>
                <w:szCs w:val="16"/>
              </w:rPr>
              <w:t>おり</w:t>
            </w:r>
            <w:r w:rsidR="00C163EA">
              <w:rPr>
                <w:rFonts w:ascii="ＭＳ 明朝" w:eastAsia="ＭＳ 明朝" w:hAnsi="ＭＳ 明朝" w:hint="eastAsia"/>
                <w:sz w:val="16"/>
                <w:szCs w:val="16"/>
              </w:rPr>
              <w:t>、</w:t>
            </w:r>
            <w:r w:rsidR="00B81105" w:rsidRPr="00B81105">
              <w:rPr>
                <w:rFonts w:ascii="ＭＳ 明朝" w:eastAsia="ＭＳ 明朝" w:hAnsi="ＭＳ 明朝" w:hint="eastAsia"/>
                <w:sz w:val="16"/>
                <w:szCs w:val="16"/>
              </w:rPr>
              <w:t>学習への意欲を高めるような工夫がされている。</w:t>
            </w:r>
          </w:p>
          <w:p w14:paraId="0309C0E1" w14:textId="619568D0"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節ごとに</w:t>
            </w:r>
            <w:r w:rsidR="00B81105" w:rsidRPr="00B7281E">
              <w:rPr>
                <w:rFonts w:ascii="ＭＳ ゴシック" w:eastAsia="ＭＳ ゴシック" w:hAnsi="ＭＳ ゴシック" w:cs="ＭＳ 明朝" w:hint="eastAsia"/>
                <w:sz w:val="16"/>
                <w:szCs w:val="16"/>
              </w:rPr>
              <w:t>「？」（学習の問い）と「！」（この節のポイント）</w:t>
            </w:r>
            <w:r w:rsidR="00B81105" w:rsidRPr="00B81105">
              <w:rPr>
                <w:rFonts w:ascii="ＭＳ 明朝" w:eastAsia="ＭＳ 明朝" w:hAnsi="ＭＳ 明朝" w:cs="ＭＳ 明朝" w:hint="eastAsia"/>
                <w:sz w:val="16"/>
                <w:szCs w:val="16"/>
              </w:rPr>
              <w:t>が設けられており</w:t>
            </w:r>
            <w:r w:rsidR="00C163EA">
              <w:rPr>
                <w:rFonts w:ascii="ＭＳ 明朝" w:eastAsia="ＭＳ 明朝" w:hAnsi="ＭＳ 明朝" w:cs="ＭＳ 明朝" w:hint="eastAsia"/>
                <w:sz w:val="16"/>
                <w:szCs w:val="16"/>
              </w:rPr>
              <w:t>、</w:t>
            </w:r>
            <w:r w:rsidR="00B81105" w:rsidRPr="00B7281E">
              <w:rPr>
                <w:rFonts w:ascii="ＭＳ 明朝" w:eastAsia="ＭＳ 明朝" w:hAnsi="ＭＳ 明朝" w:cs="ＭＳ 明朝" w:hint="eastAsia"/>
                <w:sz w:val="16"/>
                <w:szCs w:val="16"/>
                <w:u w:val="single"/>
              </w:rPr>
              <w:t>課題意識をもって学習</w:t>
            </w:r>
            <w:r w:rsidR="00B81105" w:rsidRPr="00B7281E">
              <w:rPr>
                <w:rFonts w:ascii="ＭＳ 明朝" w:eastAsia="ＭＳ 明朝" w:hAnsi="ＭＳ 明朝" w:hint="eastAsia"/>
                <w:sz w:val="16"/>
                <w:szCs w:val="16"/>
                <w:u w:val="single"/>
              </w:rPr>
              <w:t>が進められる</w:t>
            </w:r>
            <w:r w:rsidR="00B81105" w:rsidRPr="00B81105">
              <w:rPr>
                <w:rFonts w:ascii="ＭＳ 明朝" w:eastAsia="ＭＳ 明朝" w:hAnsi="ＭＳ 明朝" w:hint="eastAsia"/>
                <w:sz w:val="16"/>
                <w:szCs w:val="16"/>
              </w:rPr>
              <w:t>ように工夫されている。</w:t>
            </w:r>
          </w:p>
          <w:p w14:paraId="28391902" w14:textId="6397BEA0"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明朝" w:eastAsia="ＭＳ 明朝" w:hAnsi="ＭＳ 明朝" w:cs="ＭＳ 明朝" w:hint="eastAsia"/>
                <w:sz w:val="16"/>
                <w:szCs w:val="16"/>
                <w:u w:val="single"/>
              </w:rPr>
              <w:t>学習上大切な式については</w:t>
            </w:r>
            <w:r w:rsidR="00C163EA">
              <w:rPr>
                <w:rFonts w:ascii="ＭＳ 明朝" w:eastAsia="ＭＳ 明朝" w:hAnsi="ＭＳ 明朝" w:cs="ＭＳ 明朝" w:hint="eastAsia"/>
                <w:sz w:val="16"/>
                <w:szCs w:val="16"/>
                <w:u w:val="single"/>
              </w:rPr>
              <w:t>、</w:t>
            </w:r>
            <w:r w:rsidR="00B81105" w:rsidRPr="00B7281E">
              <w:rPr>
                <w:rFonts w:ascii="ＭＳ 明朝" w:eastAsia="ＭＳ 明朝" w:hAnsi="ＭＳ 明朝" w:cs="ＭＳ 明朝" w:hint="eastAsia"/>
                <w:sz w:val="16"/>
                <w:szCs w:val="16"/>
                <w:u w:val="single"/>
              </w:rPr>
              <w:t>文字式だけでなくその式や文字の意味も併記</w:t>
            </w:r>
            <w:r w:rsidR="00B81105" w:rsidRPr="00B81105">
              <w:rPr>
                <w:rFonts w:ascii="ＭＳ 明朝" w:eastAsia="ＭＳ 明朝" w:hAnsi="ＭＳ 明朝" w:cs="ＭＳ 明朝" w:hint="eastAsia"/>
                <w:sz w:val="16"/>
                <w:szCs w:val="16"/>
              </w:rPr>
              <w:t>されており</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また</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色つき</w:t>
            </w:r>
            <w:r w:rsidR="00B81105" w:rsidRPr="00B81105">
              <w:rPr>
                <w:rFonts w:ascii="ＭＳ 明朝" w:eastAsia="ＭＳ 明朝" w:hAnsi="ＭＳ 明朝" w:hint="eastAsia"/>
                <w:sz w:val="16"/>
                <w:szCs w:val="16"/>
              </w:rPr>
              <w:t>の囲みで示されているので</w:t>
            </w:r>
            <w:r w:rsidR="00C163EA">
              <w:rPr>
                <w:rFonts w:ascii="ＭＳ 明朝" w:eastAsia="ＭＳ 明朝" w:hAnsi="ＭＳ 明朝" w:hint="eastAsia"/>
                <w:sz w:val="16"/>
                <w:szCs w:val="16"/>
              </w:rPr>
              <w:t>、</w:t>
            </w:r>
            <w:r w:rsidR="00B81105" w:rsidRPr="00B81105">
              <w:rPr>
                <w:rFonts w:ascii="ＭＳ 明朝" w:eastAsia="ＭＳ 明朝" w:hAnsi="ＭＳ 明朝" w:hint="eastAsia"/>
                <w:sz w:val="16"/>
                <w:szCs w:val="16"/>
              </w:rPr>
              <w:t>一目でわかるようになっている。</w:t>
            </w:r>
          </w:p>
          <w:p w14:paraId="31812E15" w14:textId="13642378"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図版の中の説明を詳しくし</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重要な図では</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ポイントをカラーで示すなど</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理解を助ける工夫がなさ</w:t>
            </w:r>
            <w:r w:rsidR="00B81105" w:rsidRPr="00B81105">
              <w:rPr>
                <w:rFonts w:ascii="ＭＳ 明朝" w:eastAsia="ＭＳ 明朝" w:hAnsi="ＭＳ 明朝" w:hint="eastAsia"/>
                <w:sz w:val="16"/>
                <w:szCs w:val="16"/>
              </w:rPr>
              <w:t>れている。</w:t>
            </w:r>
          </w:p>
          <w:p w14:paraId="43D1A9A1" w14:textId="47D0B045"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ゴシック" w:eastAsia="ＭＳ ゴシック" w:hAnsi="ＭＳ ゴシック" w:cs="ＭＳ 明朝" w:hint="eastAsia"/>
                <w:sz w:val="16"/>
                <w:szCs w:val="16"/>
              </w:rPr>
              <w:t>教科書内の問題の解答がすべて巻末に掲載</w:t>
            </w:r>
            <w:r w:rsidR="00B81105" w:rsidRPr="00B81105">
              <w:rPr>
                <w:rFonts w:ascii="ＭＳ 明朝" w:eastAsia="ＭＳ 明朝" w:hAnsi="ＭＳ 明朝" w:cs="ＭＳ 明朝" w:hint="eastAsia"/>
                <w:sz w:val="16"/>
                <w:szCs w:val="16"/>
              </w:rPr>
              <w:t>されており</w:t>
            </w:r>
            <w:r w:rsidR="00C163EA">
              <w:rPr>
                <w:rFonts w:ascii="ＭＳ 明朝" w:eastAsia="ＭＳ 明朝" w:hAnsi="ＭＳ 明朝" w:cs="ＭＳ 明朝" w:hint="eastAsia"/>
                <w:sz w:val="16"/>
                <w:szCs w:val="16"/>
              </w:rPr>
              <w:t>、</w:t>
            </w:r>
            <w:r w:rsidR="00B81105" w:rsidRPr="00B7281E">
              <w:rPr>
                <w:rFonts w:ascii="ＭＳ 明朝" w:eastAsia="ＭＳ 明朝" w:hAnsi="ＭＳ 明朝" w:cs="ＭＳ 明朝" w:hint="eastAsia"/>
                <w:sz w:val="16"/>
                <w:szCs w:val="16"/>
                <w:u w:val="single"/>
              </w:rPr>
              <w:t>生徒が自学自習</w:t>
            </w:r>
            <w:r w:rsidR="00B81105" w:rsidRPr="00B7281E">
              <w:rPr>
                <w:rFonts w:ascii="ＭＳ 明朝" w:eastAsia="ＭＳ 明朝" w:hAnsi="ＭＳ 明朝" w:hint="eastAsia"/>
                <w:sz w:val="16"/>
                <w:szCs w:val="16"/>
                <w:u w:val="single"/>
              </w:rPr>
              <w:t>する際に活用しやすくなっている</w:t>
            </w:r>
            <w:r w:rsidR="00B81105" w:rsidRPr="00B81105">
              <w:rPr>
                <w:rFonts w:ascii="ＭＳ 明朝" w:eastAsia="ＭＳ 明朝" w:hAnsi="ＭＳ 明朝" w:hint="eastAsia"/>
                <w:sz w:val="16"/>
                <w:szCs w:val="16"/>
              </w:rPr>
              <w:t>。</w:t>
            </w:r>
          </w:p>
          <w:p w14:paraId="5D6562B3" w14:textId="2AB0FCFF" w:rsidR="006B3156" w:rsidRDefault="006B3156" w:rsidP="00F729F5">
            <w:pPr>
              <w:spacing w:line="0" w:lineRule="atLeast"/>
              <w:rPr>
                <w:rFonts w:ascii="Malgun Gothic" w:eastAsia="Malgun Gothic" w:hAnsi="Malgun Gothic" w:cs="Malgun Gothic"/>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実験ごとに</w:t>
            </w:r>
            <w:r w:rsidR="00C163EA">
              <w:rPr>
                <w:rFonts w:ascii="ＭＳ 明朝" w:eastAsia="ＭＳ 明朝" w:hAnsi="ＭＳ 明朝" w:cs="ＭＳ 明朝" w:hint="eastAsia"/>
                <w:sz w:val="16"/>
                <w:szCs w:val="16"/>
              </w:rPr>
              <w:t>、</w:t>
            </w:r>
            <w:r w:rsidR="00B81105" w:rsidRPr="00B7281E">
              <w:rPr>
                <w:rFonts w:ascii="ＭＳ ゴシック" w:eastAsia="ＭＳ ゴシック" w:hAnsi="ＭＳ ゴシック" w:cs="ＭＳ 明朝" w:hint="eastAsia"/>
                <w:sz w:val="16"/>
                <w:szCs w:val="16"/>
              </w:rPr>
              <w:t>事故防止の注意マーク</w:t>
            </w:r>
            <w:r w:rsidR="00B81105" w:rsidRPr="00B81105">
              <w:rPr>
                <w:rFonts w:ascii="ＭＳ 明朝" w:eastAsia="ＭＳ 明朝" w:hAnsi="ＭＳ 明朝" w:cs="ＭＳ 明朝" w:hint="eastAsia"/>
                <w:sz w:val="16"/>
                <w:szCs w:val="16"/>
              </w:rPr>
              <w:t>を目立つように付している。</w:t>
            </w:r>
          </w:p>
          <w:p w14:paraId="1588455F" w14:textId="2A379666"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ゴシック" w:eastAsia="ＭＳ ゴシック" w:hAnsi="ＭＳ ゴシック" w:cs="ＭＳ 明朝" w:hint="eastAsia"/>
                <w:sz w:val="16"/>
                <w:szCs w:val="16"/>
              </w:rPr>
              <w:t>二次元コードコンテンツが豊富</w:t>
            </w:r>
            <w:r w:rsidR="00B81105" w:rsidRPr="00B81105">
              <w:rPr>
                <w:rFonts w:ascii="ＭＳ 明朝" w:eastAsia="ＭＳ 明朝" w:hAnsi="ＭＳ 明朝" w:cs="ＭＳ 明朝" w:hint="eastAsia"/>
                <w:sz w:val="16"/>
                <w:szCs w:val="16"/>
              </w:rPr>
              <w:t>である。教科書の図版だけでは理解しにく</w:t>
            </w:r>
            <w:r w:rsidR="00B81105" w:rsidRPr="00B81105">
              <w:rPr>
                <w:rFonts w:ascii="ＭＳ 明朝" w:eastAsia="ＭＳ 明朝" w:hAnsi="ＭＳ 明朝" w:hint="eastAsia"/>
                <w:sz w:val="16"/>
                <w:szCs w:val="16"/>
              </w:rPr>
              <w:t>い内容について</w:t>
            </w:r>
            <w:r w:rsidR="00C163EA">
              <w:rPr>
                <w:rFonts w:ascii="ＭＳ 明朝" w:eastAsia="ＭＳ 明朝" w:hAnsi="ＭＳ 明朝" w:hint="eastAsia"/>
                <w:sz w:val="16"/>
                <w:szCs w:val="16"/>
              </w:rPr>
              <w:t>、</w:t>
            </w:r>
            <w:r w:rsidR="00B81105" w:rsidRPr="00B81105">
              <w:rPr>
                <w:rFonts w:ascii="ＭＳ 明朝" w:eastAsia="ＭＳ 明朝" w:hAnsi="ＭＳ 明朝" w:hint="eastAsia"/>
                <w:sz w:val="16"/>
                <w:szCs w:val="16"/>
              </w:rPr>
              <w:t>二次元コードで情報を収集したり</w:t>
            </w:r>
            <w:r w:rsidR="00C163EA">
              <w:rPr>
                <w:rFonts w:ascii="ＭＳ 明朝" w:eastAsia="ＭＳ 明朝" w:hAnsi="ＭＳ 明朝" w:hint="eastAsia"/>
                <w:sz w:val="16"/>
                <w:szCs w:val="16"/>
              </w:rPr>
              <w:t>、</w:t>
            </w:r>
            <w:r w:rsidR="00B81105" w:rsidRPr="00B7281E">
              <w:rPr>
                <w:rFonts w:ascii="ＭＳ 明朝" w:eastAsia="ＭＳ 明朝" w:hAnsi="ＭＳ 明朝" w:hint="eastAsia"/>
                <w:sz w:val="16"/>
                <w:szCs w:val="16"/>
                <w:u w:val="single"/>
              </w:rPr>
              <w:t>アニメーション</w:t>
            </w:r>
            <w:r w:rsidR="00B81105" w:rsidRPr="00B81105">
              <w:rPr>
                <w:rFonts w:ascii="ＭＳ 明朝" w:eastAsia="ＭＳ 明朝" w:hAnsi="ＭＳ 明朝" w:hint="eastAsia"/>
                <w:sz w:val="16"/>
                <w:szCs w:val="16"/>
              </w:rPr>
              <w:t>や</w:t>
            </w:r>
            <w:r w:rsidR="00B81105" w:rsidRPr="00B7281E">
              <w:rPr>
                <w:rFonts w:ascii="ＭＳ 明朝" w:eastAsia="ＭＳ 明朝" w:hAnsi="ＭＳ 明朝" w:hint="eastAsia"/>
                <w:sz w:val="16"/>
                <w:szCs w:val="16"/>
                <w:u w:val="single"/>
              </w:rPr>
              <w:t>実験映像</w:t>
            </w:r>
            <w:r w:rsidR="00B81105" w:rsidRPr="00B81105">
              <w:rPr>
                <w:rFonts w:ascii="ＭＳ 明朝" w:eastAsia="ＭＳ 明朝" w:hAnsi="ＭＳ 明朝" w:hint="eastAsia"/>
                <w:sz w:val="16"/>
                <w:szCs w:val="16"/>
              </w:rPr>
              <w:t>などで理解を深めたりすることができる。</w:t>
            </w:r>
          </w:p>
          <w:p w14:paraId="27DA06E9" w14:textId="31D04DB6" w:rsidR="000B06D6" w:rsidRPr="000B06D6"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指導資料は「動画コンテンツ」</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「デジタ</w:t>
            </w:r>
            <w:r w:rsidR="00B81105" w:rsidRPr="00B81105">
              <w:rPr>
                <w:rFonts w:ascii="ＭＳ 明朝" w:eastAsia="ＭＳ 明朝" w:hAnsi="ＭＳ 明朝" w:hint="eastAsia"/>
                <w:sz w:val="16"/>
                <w:szCs w:val="16"/>
              </w:rPr>
              <w:t>ル板書」などのデジタル教材が充実しており</w:t>
            </w:r>
            <w:r w:rsidR="00C163EA">
              <w:rPr>
                <w:rFonts w:ascii="ＭＳ 明朝" w:eastAsia="ＭＳ 明朝" w:hAnsi="ＭＳ 明朝" w:hint="eastAsia"/>
                <w:sz w:val="16"/>
                <w:szCs w:val="16"/>
              </w:rPr>
              <w:t>、</w:t>
            </w:r>
            <w:r w:rsidR="00B81105" w:rsidRPr="00B81105">
              <w:rPr>
                <w:rFonts w:ascii="ＭＳ 明朝" w:eastAsia="ＭＳ 明朝" w:hAnsi="ＭＳ 明朝"/>
                <w:sz w:val="16"/>
                <w:szCs w:val="16"/>
              </w:rPr>
              <w:t>ICTを活用し</w:t>
            </w:r>
            <w:r w:rsidR="00B81105" w:rsidRPr="00B81105">
              <w:rPr>
                <w:rFonts w:ascii="ＭＳ 明朝" w:eastAsia="ＭＳ 明朝" w:hAnsi="ＭＳ 明朝" w:hint="eastAsia"/>
                <w:sz w:val="16"/>
                <w:szCs w:val="16"/>
              </w:rPr>
              <w:t>た授業にも対応している。</w:t>
            </w:r>
          </w:p>
        </w:tc>
      </w:tr>
      <w:tr w:rsidR="000B06D6" w:rsidRPr="000B06D6" w14:paraId="0FA74B4B" w14:textId="77777777" w:rsidTr="00F729F5">
        <w:trPr>
          <w:cantSplit/>
          <w:trHeight w:val="1134"/>
        </w:trPr>
        <w:tc>
          <w:tcPr>
            <w:tcW w:w="438" w:type="dxa"/>
            <w:textDirection w:val="tbRlV"/>
            <w:vAlign w:val="center"/>
          </w:tcPr>
          <w:p w14:paraId="4837C9E1" w14:textId="77777777" w:rsidR="000B06D6" w:rsidRPr="00072565" w:rsidRDefault="000B06D6" w:rsidP="00F729F5">
            <w:pPr>
              <w:spacing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印刷・造本上 の配慮</w:t>
            </w:r>
          </w:p>
        </w:tc>
        <w:tc>
          <w:tcPr>
            <w:tcW w:w="2917" w:type="dxa"/>
          </w:tcPr>
          <w:p w14:paraId="1F48A890" w14:textId="2C9438CD"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印刷の鮮明さ</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活字の大きさ</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行間</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製本</w:t>
            </w:r>
            <w:r w:rsidR="00B81105" w:rsidRPr="00B81105">
              <w:rPr>
                <w:rFonts w:ascii="ＭＳ 明朝" w:eastAsia="ＭＳ 明朝" w:hAnsi="ＭＳ 明朝" w:hint="eastAsia"/>
                <w:sz w:val="16"/>
                <w:szCs w:val="16"/>
              </w:rPr>
              <w:t>などは適切か。</w:t>
            </w:r>
          </w:p>
          <w:p w14:paraId="41775E66" w14:textId="77777777"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環境保全や生徒の多様な特性に</w:t>
            </w:r>
            <w:r w:rsidR="00B81105" w:rsidRPr="00B81105">
              <w:rPr>
                <w:rFonts w:ascii="ＭＳ 明朝" w:eastAsia="ＭＳ 明朝" w:hAnsi="ＭＳ 明朝" w:hint="eastAsia"/>
                <w:sz w:val="16"/>
                <w:szCs w:val="16"/>
              </w:rPr>
              <w:t>対して配慮しているか。</w:t>
            </w:r>
          </w:p>
        </w:tc>
        <w:tc>
          <w:tcPr>
            <w:tcW w:w="6292" w:type="dxa"/>
          </w:tcPr>
          <w:p w14:paraId="1B6D50D7" w14:textId="2334C012"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製本は針金を使用せず接着剤で製本してあり</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金属を使用しないことによるリサイクル性を重視して</w:t>
            </w:r>
            <w:r w:rsidR="00B81105" w:rsidRPr="00B81105">
              <w:rPr>
                <w:rFonts w:ascii="ＭＳ 明朝" w:eastAsia="ＭＳ 明朝" w:hAnsi="ＭＳ 明朝" w:hint="eastAsia"/>
                <w:sz w:val="16"/>
                <w:szCs w:val="16"/>
              </w:rPr>
              <w:t>いる。</w:t>
            </w:r>
          </w:p>
          <w:p w14:paraId="4BC2FD28" w14:textId="10B4A4F4" w:rsidR="00B81105" w:rsidRPr="00B81105" w:rsidRDefault="00B7281E" w:rsidP="00B7281E">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用紙には再生紙を</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インキには植物油インキを使用している。</w:t>
            </w:r>
          </w:p>
          <w:p w14:paraId="1276B217" w14:textId="1C6EA77B" w:rsidR="00B81105" w:rsidRPr="00B81105"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レイアウト</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色づかいなど</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ユニバーサルデザインに配慮されている。また</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見やすく読み間違えに</w:t>
            </w:r>
            <w:r w:rsidR="00B81105" w:rsidRPr="00B81105">
              <w:rPr>
                <w:rFonts w:ascii="ＭＳ 明朝" w:eastAsia="ＭＳ 明朝" w:hAnsi="ＭＳ 明朝" w:hint="eastAsia"/>
                <w:sz w:val="16"/>
                <w:szCs w:val="16"/>
              </w:rPr>
              <w:t>くいユニバーサルデザインフォントが採用されている。</w:t>
            </w:r>
          </w:p>
          <w:p w14:paraId="6E9AC590" w14:textId="35CD7F33" w:rsidR="000B06D6" w:rsidRDefault="00B7281E" w:rsidP="00397FBE">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本の中心</w:t>
            </w:r>
            <w:r w:rsidR="00B81105" w:rsidRPr="00B81105">
              <w:rPr>
                <w:rFonts w:ascii="ＭＳ 明朝" w:eastAsia="ＭＳ 明朝" w:hAnsi="ＭＳ 明朝" w:hint="eastAsia"/>
                <w:sz w:val="16"/>
                <w:szCs w:val="16"/>
              </w:rPr>
              <w:t>までページを開くことができる製本のため</w:t>
            </w:r>
            <w:r w:rsidR="00C163EA">
              <w:rPr>
                <w:rFonts w:ascii="ＭＳ 明朝" w:eastAsia="ＭＳ 明朝" w:hAnsi="ＭＳ 明朝" w:hint="eastAsia"/>
                <w:sz w:val="16"/>
                <w:szCs w:val="16"/>
              </w:rPr>
              <w:t>、</w:t>
            </w:r>
            <w:r w:rsidR="00B81105" w:rsidRPr="00B81105">
              <w:rPr>
                <w:rFonts w:ascii="ＭＳ 明朝" w:eastAsia="ＭＳ 明朝" w:hAnsi="ＭＳ 明朝" w:hint="eastAsia"/>
                <w:sz w:val="16"/>
                <w:szCs w:val="16"/>
              </w:rPr>
              <w:t>生徒が使いやすくなっている</w:t>
            </w:r>
            <w:r>
              <w:rPr>
                <w:rFonts w:ascii="ＭＳ 明朝" w:eastAsia="ＭＳ 明朝" w:hAnsi="ＭＳ 明朝" w:hint="eastAsia"/>
                <w:sz w:val="16"/>
                <w:szCs w:val="16"/>
              </w:rPr>
              <w:t>。</w:t>
            </w:r>
          </w:p>
          <w:p w14:paraId="429A21C5" w14:textId="77777777" w:rsidR="00397FBE" w:rsidRDefault="00397FBE" w:rsidP="00397FBE">
            <w:pPr>
              <w:spacing w:line="0" w:lineRule="atLeast"/>
              <w:rPr>
                <w:rFonts w:ascii="ＭＳ 明朝" w:eastAsia="ＭＳ 明朝" w:hAnsi="ＭＳ 明朝"/>
                <w:sz w:val="16"/>
                <w:szCs w:val="16"/>
              </w:rPr>
            </w:pPr>
          </w:p>
          <w:p w14:paraId="2E0E512B" w14:textId="77777777" w:rsidR="00397FBE" w:rsidRDefault="00397FBE" w:rsidP="00397FBE">
            <w:pPr>
              <w:spacing w:line="0" w:lineRule="atLeast"/>
              <w:rPr>
                <w:rFonts w:ascii="ＭＳ 明朝" w:eastAsia="ＭＳ 明朝" w:hAnsi="ＭＳ 明朝"/>
                <w:sz w:val="16"/>
                <w:szCs w:val="16"/>
              </w:rPr>
            </w:pPr>
          </w:p>
          <w:p w14:paraId="764CA6D9" w14:textId="77777777" w:rsidR="00397FBE" w:rsidRDefault="00397FBE" w:rsidP="00397FBE">
            <w:pPr>
              <w:spacing w:line="0" w:lineRule="atLeast"/>
              <w:rPr>
                <w:rFonts w:ascii="ＭＳ 明朝" w:eastAsia="ＭＳ 明朝" w:hAnsi="ＭＳ 明朝"/>
                <w:sz w:val="16"/>
                <w:szCs w:val="16"/>
              </w:rPr>
            </w:pPr>
          </w:p>
          <w:p w14:paraId="75A9D6ED" w14:textId="77777777" w:rsidR="005F0D8D" w:rsidRPr="000B06D6" w:rsidRDefault="005F0D8D" w:rsidP="00397FBE">
            <w:pPr>
              <w:spacing w:line="0" w:lineRule="atLeast"/>
              <w:rPr>
                <w:rFonts w:ascii="ＭＳ 明朝" w:eastAsia="ＭＳ 明朝" w:hAnsi="ＭＳ 明朝"/>
                <w:sz w:val="16"/>
                <w:szCs w:val="16"/>
              </w:rPr>
            </w:pPr>
          </w:p>
        </w:tc>
      </w:tr>
      <w:tr w:rsidR="000B06D6" w:rsidRPr="000B06D6" w14:paraId="43CB166F" w14:textId="77777777" w:rsidTr="00F729F5">
        <w:trPr>
          <w:cantSplit/>
          <w:trHeight w:val="983"/>
        </w:trPr>
        <w:tc>
          <w:tcPr>
            <w:tcW w:w="438" w:type="dxa"/>
            <w:textDirection w:val="tbRlV"/>
            <w:vAlign w:val="center"/>
          </w:tcPr>
          <w:p w14:paraId="20004634" w14:textId="77777777" w:rsidR="000B06D6" w:rsidRPr="00072565" w:rsidRDefault="000B06D6" w:rsidP="00F729F5">
            <w:pPr>
              <w:spacing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lastRenderedPageBreak/>
              <w:t>総合所見</w:t>
            </w:r>
          </w:p>
        </w:tc>
        <w:tc>
          <w:tcPr>
            <w:tcW w:w="2917" w:type="dxa"/>
          </w:tcPr>
          <w:p w14:paraId="4591F715" w14:textId="3148713D"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上記観点からみた</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全体的・総合的な当教</w:t>
            </w:r>
            <w:r w:rsidR="00B81105" w:rsidRPr="00B81105">
              <w:rPr>
                <w:rFonts w:ascii="ＭＳ 明朝" w:eastAsia="ＭＳ 明朝" w:hAnsi="ＭＳ 明朝" w:hint="eastAsia"/>
                <w:sz w:val="16"/>
                <w:szCs w:val="16"/>
              </w:rPr>
              <w:t>科書の特徴。</w:t>
            </w:r>
          </w:p>
        </w:tc>
        <w:tc>
          <w:tcPr>
            <w:tcW w:w="6292" w:type="dxa"/>
          </w:tcPr>
          <w:p w14:paraId="0BC0B155" w14:textId="4AEE4A02" w:rsidR="00B81105" w:rsidRPr="00B81105"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丁寧な事項解説がなされている一方</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視覚的</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直感的な図や写真が使われるなど非常に工夫された教</w:t>
            </w:r>
            <w:r w:rsidR="00B81105" w:rsidRPr="00B81105">
              <w:rPr>
                <w:rFonts w:ascii="ＭＳ 明朝" w:eastAsia="ＭＳ 明朝" w:hAnsi="ＭＳ 明朝" w:hint="eastAsia"/>
                <w:sz w:val="16"/>
                <w:szCs w:val="16"/>
              </w:rPr>
              <w:t>科書である。</w:t>
            </w:r>
          </w:p>
          <w:p w14:paraId="7A5FAF0A" w14:textId="5D21937F" w:rsidR="000B06D6" w:rsidRPr="000B06D6"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身のまわりにある興味深い内容や物理現象を多く取り上げていて</w:t>
            </w:r>
            <w:r w:rsidR="00C163EA">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物理への興味が持てるように工夫</w:t>
            </w:r>
            <w:r>
              <w:rPr>
                <w:rFonts w:ascii="ＭＳ 明朝" w:eastAsia="ＭＳ 明朝" w:hAnsi="ＭＳ 明朝" w:hint="eastAsia"/>
                <w:sz w:val="16"/>
                <w:szCs w:val="16"/>
              </w:rPr>
              <w:t>された教科書である。</w:t>
            </w:r>
          </w:p>
        </w:tc>
      </w:tr>
    </w:tbl>
    <w:p w14:paraId="61286748"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1AEC" w14:textId="77777777" w:rsidR="00FD772A" w:rsidRDefault="00FD772A" w:rsidP="00036505">
      <w:r>
        <w:separator/>
      </w:r>
    </w:p>
  </w:endnote>
  <w:endnote w:type="continuationSeparator" w:id="0">
    <w:p w14:paraId="6AA8D54B" w14:textId="77777777" w:rsidR="00FD772A" w:rsidRDefault="00FD772A" w:rsidP="0003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6DA6" w14:textId="77777777" w:rsidR="00FD772A" w:rsidRDefault="00FD772A" w:rsidP="00036505">
      <w:r>
        <w:separator/>
      </w:r>
    </w:p>
  </w:footnote>
  <w:footnote w:type="continuationSeparator" w:id="0">
    <w:p w14:paraId="7A9DF51C" w14:textId="77777777" w:rsidR="00FD772A" w:rsidRDefault="00FD772A" w:rsidP="00036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34E94"/>
    <w:rsid w:val="00036505"/>
    <w:rsid w:val="00072565"/>
    <w:rsid w:val="000B06D6"/>
    <w:rsid w:val="001D711C"/>
    <w:rsid w:val="001F55BE"/>
    <w:rsid w:val="002B64B0"/>
    <w:rsid w:val="002F5857"/>
    <w:rsid w:val="00397FBE"/>
    <w:rsid w:val="00407FC2"/>
    <w:rsid w:val="00576BE9"/>
    <w:rsid w:val="005F0D8D"/>
    <w:rsid w:val="006140C2"/>
    <w:rsid w:val="006623EC"/>
    <w:rsid w:val="006B3156"/>
    <w:rsid w:val="006D407D"/>
    <w:rsid w:val="007231E8"/>
    <w:rsid w:val="007E5B5B"/>
    <w:rsid w:val="00812423"/>
    <w:rsid w:val="008A0D12"/>
    <w:rsid w:val="00A04EBF"/>
    <w:rsid w:val="00B72037"/>
    <w:rsid w:val="00B7281E"/>
    <w:rsid w:val="00B81105"/>
    <w:rsid w:val="00C163EA"/>
    <w:rsid w:val="00C97DDE"/>
    <w:rsid w:val="00D61566"/>
    <w:rsid w:val="00D757C8"/>
    <w:rsid w:val="00EE757D"/>
    <w:rsid w:val="00F729F5"/>
    <w:rsid w:val="00FD7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1B7A5"/>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505"/>
    <w:pPr>
      <w:tabs>
        <w:tab w:val="center" w:pos="4252"/>
        <w:tab w:val="right" w:pos="8504"/>
      </w:tabs>
      <w:snapToGrid w:val="0"/>
    </w:pPr>
  </w:style>
  <w:style w:type="character" w:customStyle="1" w:styleId="a5">
    <w:name w:val="ヘッダー (文字)"/>
    <w:basedOn w:val="a0"/>
    <w:link w:val="a4"/>
    <w:uiPriority w:val="99"/>
    <w:rsid w:val="00036505"/>
  </w:style>
  <w:style w:type="paragraph" w:styleId="a6">
    <w:name w:val="footer"/>
    <w:basedOn w:val="a"/>
    <w:link w:val="a7"/>
    <w:uiPriority w:val="99"/>
    <w:unhideWhenUsed/>
    <w:rsid w:val="00036505"/>
    <w:pPr>
      <w:tabs>
        <w:tab w:val="center" w:pos="4252"/>
        <w:tab w:val="right" w:pos="8504"/>
      </w:tabs>
      <w:snapToGrid w:val="0"/>
    </w:pPr>
  </w:style>
  <w:style w:type="character" w:customStyle="1" w:styleId="a7">
    <w:name w:val="フッター (文字)"/>
    <w:basedOn w:val="a0"/>
    <w:link w:val="a6"/>
    <w:uiPriority w:val="99"/>
    <w:rsid w:val="0003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381</Words>
  <Characters>2172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2026-03-17T03:13:00Z</cp:lastPrinted>
  <dcterms:created xsi:type="dcterms:W3CDTF">2022-03-31T07:46:00Z</dcterms:created>
  <dcterms:modified xsi:type="dcterms:W3CDTF">2026-03-17T05:56:00Z</dcterms:modified>
</cp:coreProperties>
</file>