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D9" w:rsidRPr="00820F1E" w:rsidRDefault="00CD4754">
      <w:pPr>
        <w:rPr>
          <w:rFonts w:asciiTheme="minorEastAsia" w:hAnsiTheme="minorEastAsia" w:cs="Kosugi Maru"/>
          <w:sz w:val="20"/>
          <w:szCs w:val="20"/>
        </w:rPr>
      </w:pPr>
      <w:bookmarkStart w:id="0" w:name="_GoBack"/>
      <w:bookmarkEnd w:id="0"/>
      <w:r w:rsidRPr="00820F1E">
        <w:rPr>
          <w:rFonts w:asciiTheme="minorEastAsia" w:hAnsiTheme="minorEastAsia" w:cs="Kosugi Maru"/>
          <w:sz w:val="20"/>
          <w:szCs w:val="20"/>
        </w:rPr>
        <w:t>検討の観点（「</w:t>
      </w:r>
      <w:r w:rsidR="00A23F82" w:rsidRPr="00820F1E">
        <w:rPr>
          <w:rFonts w:asciiTheme="minorEastAsia" w:hAnsiTheme="minorEastAsia" w:cs="Kosugi Maru" w:hint="eastAsia"/>
          <w:sz w:val="20"/>
          <w:szCs w:val="20"/>
        </w:rPr>
        <w:t>精選</w:t>
      </w:r>
      <w:r w:rsidR="00D068E5">
        <w:rPr>
          <w:rFonts w:asciiTheme="minorEastAsia" w:hAnsiTheme="minorEastAsia" w:cs="Kosugi Maru" w:hint="eastAsia"/>
          <w:sz w:val="20"/>
          <w:szCs w:val="20"/>
        </w:rPr>
        <w:t>古典探究　古文編　漢文編</w:t>
      </w:r>
      <w:r w:rsidR="00A23F82" w:rsidRPr="00820F1E">
        <w:rPr>
          <w:rFonts w:asciiTheme="minorEastAsia" w:hAnsiTheme="minorEastAsia" w:cs="Kosugi Maru"/>
          <w:sz w:val="20"/>
          <w:szCs w:val="20"/>
        </w:rPr>
        <w:t xml:space="preserve">」２東書　</w:t>
      </w:r>
      <w:r w:rsidR="00D068E5">
        <w:rPr>
          <w:rFonts w:asciiTheme="minorEastAsia" w:hAnsiTheme="minorEastAsia" w:cs="Kosugi Maru" w:hint="eastAsia"/>
          <w:sz w:val="20"/>
          <w:szCs w:val="20"/>
        </w:rPr>
        <w:t>古探　702　703</w:t>
      </w:r>
      <w:r w:rsidR="00692DFA" w:rsidRPr="00820F1E">
        <w:rPr>
          <w:rFonts w:asciiTheme="minorEastAsia" w:hAnsiTheme="minorEastAsia" w:cs="Kosugi Maru"/>
          <w:sz w:val="20"/>
          <w:szCs w:val="20"/>
        </w:rPr>
        <w:t>）</w:t>
      </w:r>
    </w:p>
    <w:tbl>
      <w:tblPr>
        <w:tblStyle w:val="a5"/>
        <w:tblW w:w="154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1979"/>
        <w:gridCol w:w="3402"/>
        <w:gridCol w:w="9643"/>
      </w:tblGrid>
      <w:tr w:rsidR="00D56DD9" w:rsidRPr="00820F1E">
        <w:tc>
          <w:tcPr>
            <w:tcW w:w="2376" w:type="dxa"/>
            <w:gridSpan w:val="2"/>
            <w:shd w:val="clear" w:color="auto" w:fill="auto"/>
            <w:vAlign w:val="center"/>
          </w:tcPr>
          <w:p w:rsidR="00D56DD9" w:rsidRPr="00820F1E" w:rsidRDefault="00692DFA">
            <w:pPr>
              <w:jc w:val="center"/>
              <w:rPr>
                <w:rFonts w:asciiTheme="minorEastAsia" w:hAnsiTheme="minorEastAsia" w:cs="Kosugi Maru"/>
                <w:b/>
                <w:sz w:val="18"/>
                <w:szCs w:val="18"/>
              </w:rPr>
            </w:pPr>
            <w:r w:rsidRPr="00820F1E">
              <w:rPr>
                <w:rFonts w:asciiTheme="minorEastAsia" w:hAnsiTheme="minorEastAsia" w:cs="Kosugi Maru"/>
                <w:b/>
                <w:sz w:val="18"/>
                <w:szCs w:val="18"/>
              </w:rPr>
              <w:t>項目</w:t>
            </w:r>
          </w:p>
        </w:tc>
        <w:tc>
          <w:tcPr>
            <w:tcW w:w="3402" w:type="dxa"/>
            <w:shd w:val="clear" w:color="auto" w:fill="auto"/>
            <w:vAlign w:val="center"/>
          </w:tcPr>
          <w:p w:rsidR="00D56DD9" w:rsidRPr="00820F1E" w:rsidRDefault="00692DFA">
            <w:pPr>
              <w:jc w:val="center"/>
              <w:rPr>
                <w:rFonts w:asciiTheme="minorEastAsia" w:hAnsiTheme="minorEastAsia" w:cs="Kosugi Maru"/>
                <w:b/>
                <w:sz w:val="18"/>
                <w:szCs w:val="18"/>
              </w:rPr>
            </w:pPr>
            <w:r w:rsidRPr="00820F1E">
              <w:rPr>
                <w:rFonts w:asciiTheme="minorEastAsia" w:hAnsiTheme="minorEastAsia" w:cs="Kosugi Maru"/>
                <w:b/>
                <w:sz w:val="18"/>
                <w:szCs w:val="18"/>
              </w:rPr>
              <w:t>観点</w:t>
            </w:r>
          </w:p>
        </w:tc>
        <w:tc>
          <w:tcPr>
            <w:tcW w:w="9643" w:type="dxa"/>
            <w:shd w:val="clear" w:color="auto" w:fill="auto"/>
            <w:vAlign w:val="center"/>
          </w:tcPr>
          <w:p w:rsidR="00D56DD9" w:rsidRPr="00820F1E" w:rsidRDefault="00692DFA">
            <w:pPr>
              <w:jc w:val="center"/>
              <w:rPr>
                <w:rFonts w:asciiTheme="minorEastAsia" w:hAnsiTheme="minorEastAsia" w:cs="Kosugi Maru"/>
                <w:b/>
                <w:sz w:val="18"/>
                <w:szCs w:val="18"/>
              </w:rPr>
            </w:pPr>
            <w:r w:rsidRPr="00820F1E">
              <w:rPr>
                <w:rFonts w:asciiTheme="minorEastAsia" w:hAnsiTheme="minorEastAsia" w:cs="Kosugi Maru"/>
                <w:b/>
                <w:sz w:val="18"/>
                <w:szCs w:val="18"/>
              </w:rPr>
              <w:t>特色・具体例</w:t>
            </w:r>
          </w:p>
        </w:tc>
      </w:tr>
      <w:tr w:rsidR="00D56DD9" w:rsidRPr="00820F1E">
        <w:tc>
          <w:tcPr>
            <w:tcW w:w="397" w:type="dxa"/>
            <w:shd w:val="clear" w:color="auto" w:fill="auto"/>
            <w:vAlign w:val="center"/>
          </w:tcPr>
          <w:p w:rsidR="00D56DD9" w:rsidRPr="00820F1E" w:rsidRDefault="00692DFA">
            <w:pPr>
              <w:jc w:val="center"/>
              <w:rPr>
                <w:rFonts w:asciiTheme="minorEastAsia" w:hAnsiTheme="minorEastAsia" w:cs="Kosugi Maru"/>
                <w:b/>
              </w:rPr>
            </w:pPr>
            <w:r w:rsidRPr="00820F1E">
              <w:rPr>
                <w:rFonts w:asciiTheme="minorEastAsia" w:hAnsiTheme="minorEastAsia" w:cs="Kosugi Maru"/>
                <w:b/>
              </w:rPr>
              <w:t>1</w:t>
            </w:r>
          </w:p>
        </w:tc>
        <w:tc>
          <w:tcPr>
            <w:tcW w:w="1979" w:type="dxa"/>
            <w:shd w:val="clear" w:color="auto" w:fill="auto"/>
            <w:vAlign w:val="center"/>
          </w:tcPr>
          <w:p w:rsidR="00D56DD9" w:rsidRPr="00820F1E" w:rsidRDefault="00692DFA">
            <w:pPr>
              <w:spacing w:line="260" w:lineRule="auto"/>
              <w:rPr>
                <w:rFonts w:asciiTheme="minorEastAsia" w:hAnsiTheme="minorEastAsia" w:cs="Kosugi Maru"/>
                <w:sz w:val="18"/>
                <w:szCs w:val="18"/>
              </w:rPr>
            </w:pPr>
            <w:r w:rsidRPr="00820F1E">
              <w:rPr>
                <w:rFonts w:asciiTheme="minorEastAsia" w:hAnsiTheme="minorEastAsia" w:cs="Kosugi Maru"/>
                <w:sz w:val="18"/>
                <w:szCs w:val="18"/>
              </w:rPr>
              <w:t>内容の選択・程度</w:t>
            </w:r>
          </w:p>
        </w:tc>
        <w:tc>
          <w:tcPr>
            <w:tcW w:w="3402" w:type="dxa"/>
            <w:shd w:val="clear" w:color="auto" w:fill="auto"/>
            <w:vAlign w:val="center"/>
          </w:tcPr>
          <w:p w:rsidR="00437531" w:rsidRPr="00437531"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＊学習指導要領の教科の目標を達成するために必要な教材が適切に用意されているか。</w:t>
            </w:r>
          </w:p>
          <w:p w:rsidR="00D56DD9" w:rsidRPr="00820F1E"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＊「言語文化」での学習を踏まえ，古典についての理解や関心を深めることができるように配慮されているか。</w:t>
            </w:r>
          </w:p>
        </w:tc>
        <w:tc>
          <w:tcPr>
            <w:tcW w:w="9643" w:type="dxa"/>
            <w:shd w:val="clear" w:color="auto" w:fill="auto"/>
            <w:vAlign w:val="center"/>
          </w:tcPr>
          <w:p w:rsidR="00437531" w:rsidRPr="00437531" w:rsidRDefault="00437531" w:rsidP="00437531">
            <w:pPr>
              <w:ind w:left="180" w:hangingChars="100" w:hanging="180"/>
              <w:rPr>
                <w:rFonts w:asciiTheme="minorEastAsia" w:hAnsiTheme="minorEastAsia" w:cs="ＭＳ 明朝"/>
                <w:sz w:val="18"/>
                <w:szCs w:val="18"/>
              </w:rPr>
            </w:pPr>
            <w:r w:rsidRPr="00437531">
              <w:rPr>
                <w:rFonts w:asciiTheme="minorEastAsia" w:hAnsiTheme="minorEastAsia" w:cs="ＭＳ 明朝" w:hint="eastAsia"/>
                <w:sz w:val="18"/>
                <w:szCs w:val="18"/>
              </w:rPr>
              <w:t>○伝統的な言語文化への理解を深め，古典を読む能力を育成できるように，教材は厳選され，バランスよく配列されている。主要ジャンルの重点学習を徹底するとともに，古典についての理解や関心を深めることができるように配慮されている。</w:t>
            </w:r>
          </w:p>
          <w:p w:rsidR="00437531" w:rsidRPr="00437531" w:rsidRDefault="00437531" w:rsidP="00437531">
            <w:pPr>
              <w:ind w:left="180" w:hangingChars="100" w:hanging="180"/>
              <w:rPr>
                <w:rFonts w:asciiTheme="minorEastAsia" w:hAnsiTheme="minorEastAsia" w:cs="ＭＳ 明朝"/>
                <w:sz w:val="18"/>
                <w:szCs w:val="18"/>
              </w:rPr>
            </w:pPr>
            <w:r w:rsidRPr="00437531">
              <w:rPr>
                <w:rFonts w:asciiTheme="minorEastAsia" w:hAnsiTheme="minorEastAsia" w:cs="ＭＳ 明朝" w:hint="eastAsia"/>
                <w:sz w:val="18"/>
                <w:szCs w:val="18"/>
              </w:rPr>
              <w:t>○古文編では，各時代・ジャンルの代表的な教材が採録されており，古典を読む能力の基礎を培うことができる。また，発展的な教材やコラム等も幅広く採録し，古典についての理解や関心を深めることができる。</w:t>
            </w:r>
          </w:p>
          <w:p w:rsidR="00437531" w:rsidRPr="00437531" w:rsidRDefault="00437531" w:rsidP="00437531">
            <w:pPr>
              <w:ind w:left="180" w:hangingChars="100" w:hanging="180"/>
              <w:rPr>
                <w:rFonts w:asciiTheme="minorEastAsia" w:hAnsiTheme="minorEastAsia" w:cs="ＭＳ 明朝"/>
                <w:sz w:val="18"/>
                <w:szCs w:val="18"/>
              </w:rPr>
            </w:pPr>
            <w:r w:rsidRPr="00437531">
              <w:rPr>
                <w:rFonts w:asciiTheme="minorEastAsia" w:hAnsiTheme="minorEastAsia" w:cs="ＭＳ 明朝" w:hint="eastAsia"/>
                <w:sz w:val="18"/>
                <w:szCs w:val="18"/>
              </w:rPr>
              <w:t>○漢文編では，史話・詩文・思想などを中心に，定評教材が選ばれており，適切である。</w:t>
            </w:r>
          </w:p>
          <w:p w:rsidR="00D56DD9" w:rsidRPr="00820F1E"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ＭＳ 明朝" w:hint="eastAsia"/>
                <w:sz w:val="18"/>
                <w:szCs w:val="18"/>
              </w:rPr>
              <w:t>○手引きには，教材を的確に理解するための設問が吟味されて，示されている。</w:t>
            </w:r>
          </w:p>
        </w:tc>
      </w:tr>
      <w:tr w:rsidR="00D56DD9" w:rsidRPr="00820F1E">
        <w:tc>
          <w:tcPr>
            <w:tcW w:w="397" w:type="dxa"/>
            <w:shd w:val="clear" w:color="auto" w:fill="auto"/>
            <w:vAlign w:val="center"/>
          </w:tcPr>
          <w:p w:rsidR="00D56DD9" w:rsidRPr="00820F1E" w:rsidRDefault="00692DFA">
            <w:pPr>
              <w:jc w:val="center"/>
              <w:rPr>
                <w:rFonts w:asciiTheme="minorEastAsia" w:hAnsiTheme="minorEastAsia" w:cs="Kosugi Maru"/>
                <w:b/>
              </w:rPr>
            </w:pPr>
            <w:r w:rsidRPr="00820F1E">
              <w:rPr>
                <w:rFonts w:asciiTheme="minorEastAsia" w:hAnsiTheme="minorEastAsia" w:cs="Kosugi Maru"/>
                <w:b/>
              </w:rPr>
              <w:t>2</w:t>
            </w:r>
          </w:p>
        </w:tc>
        <w:tc>
          <w:tcPr>
            <w:tcW w:w="1979" w:type="dxa"/>
            <w:shd w:val="clear" w:color="auto" w:fill="auto"/>
            <w:vAlign w:val="center"/>
          </w:tcPr>
          <w:p w:rsidR="00D56DD9" w:rsidRPr="00820F1E" w:rsidRDefault="00692DFA">
            <w:pPr>
              <w:spacing w:line="260" w:lineRule="auto"/>
              <w:rPr>
                <w:rFonts w:asciiTheme="minorEastAsia" w:hAnsiTheme="minorEastAsia" w:cs="Kosugi Maru"/>
                <w:sz w:val="18"/>
                <w:szCs w:val="18"/>
              </w:rPr>
            </w:pPr>
            <w:r w:rsidRPr="00820F1E">
              <w:rPr>
                <w:rFonts w:asciiTheme="minorEastAsia" w:hAnsiTheme="minorEastAsia" w:cs="Kosugi Maru"/>
                <w:sz w:val="18"/>
                <w:szCs w:val="18"/>
              </w:rPr>
              <w:t>組織・配列・分量</w:t>
            </w:r>
          </w:p>
        </w:tc>
        <w:tc>
          <w:tcPr>
            <w:tcW w:w="3402" w:type="dxa"/>
            <w:shd w:val="clear" w:color="auto" w:fill="auto"/>
            <w:vAlign w:val="center"/>
          </w:tcPr>
          <w:p w:rsidR="00437531" w:rsidRPr="00437531"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＊内容の組織・配列は，学習指導を有効に進められるように考慮されているか。</w:t>
            </w:r>
          </w:p>
          <w:p w:rsidR="00437531" w:rsidRPr="00437531"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＊分量は学習指導を有効に進められるように考慮され，精選されているか。</w:t>
            </w:r>
          </w:p>
          <w:p w:rsidR="00D56DD9" w:rsidRPr="00820F1E"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＊弾力的な取り扱いに対する配慮がなされているか。</w:t>
            </w:r>
          </w:p>
        </w:tc>
        <w:tc>
          <w:tcPr>
            <w:tcW w:w="9643" w:type="dxa"/>
            <w:shd w:val="clear" w:color="auto" w:fill="auto"/>
            <w:vAlign w:val="center"/>
          </w:tcPr>
          <w:p w:rsidR="00437531" w:rsidRPr="00437531"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古文編・漢文編の２分冊構成であり，現場の多様な指導実態に対応し，指導しやすく扱いやすい。また，各分冊の構成は，二か年履修に対応してⅠ部とⅡ部に分かれており，生徒の発達段階を考慮したものとなっている。教材の配列も系統的である。</w:t>
            </w:r>
          </w:p>
          <w:p w:rsidR="00437531" w:rsidRPr="00437531"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○教材間の関連を重視した配列が心がけられており，古典についての理解を深めることができる。</w:t>
            </w:r>
          </w:p>
          <w:p w:rsidR="00437531" w:rsidRPr="00437531"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手引きの「語句と表現」では，教材と関連した古典文法・漢文句法についての設問が用意されており，学習効果が上がるように工夫されている。脚注欄の脚問や，重要古語・重要句法，附録の「古文重要語句索引」「漢文句法・重要語のまとめ」などもあり，重要なポイントを適宜確認できるようになっている。</w:t>
            </w:r>
          </w:p>
          <w:p w:rsidR="00437531" w:rsidRPr="00437531"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○教材のバランス・分量は，古典を読む能力の育成の面から見て適切である。</w:t>
            </w:r>
          </w:p>
          <w:p w:rsidR="00D56DD9" w:rsidRPr="00820F1E"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○古文編・漢文編ともに，Ⅱ部に配列した教材の多くや参考教材などにより，生徒が古典についての理解を深めるための配慮がなされている。</w:t>
            </w:r>
          </w:p>
        </w:tc>
      </w:tr>
      <w:tr w:rsidR="00D56DD9" w:rsidRPr="00820F1E">
        <w:tc>
          <w:tcPr>
            <w:tcW w:w="397" w:type="dxa"/>
            <w:shd w:val="clear" w:color="auto" w:fill="auto"/>
            <w:vAlign w:val="center"/>
          </w:tcPr>
          <w:p w:rsidR="00D56DD9" w:rsidRPr="00820F1E" w:rsidRDefault="00692DFA">
            <w:pPr>
              <w:jc w:val="center"/>
              <w:rPr>
                <w:rFonts w:asciiTheme="minorEastAsia" w:hAnsiTheme="minorEastAsia" w:cs="Kosugi Maru"/>
                <w:b/>
              </w:rPr>
            </w:pPr>
            <w:r w:rsidRPr="00820F1E">
              <w:rPr>
                <w:rFonts w:asciiTheme="minorEastAsia" w:hAnsiTheme="minorEastAsia" w:cs="Kosugi Maru"/>
                <w:b/>
              </w:rPr>
              <w:t>3</w:t>
            </w:r>
          </w:p>
        </w:tc>
        <w:tc>
          <w:tcPr>
            <w:tcW w:w="1979" w:type="dxa"/>
            <w:shd w:val="clear" w:color="auto" w:fill="auto"/>
            <w:vAlign w:val="center"/>
          </w:tcPr>
          <w:p w:rsidR="00D56DD9" w:rsidRPr="00820F1E" w:rsidRDefault="00692DFA">
            <w:pPr>
              <w:spacing w:line="260" w:lineRule="auto"/>
              <w:rPr>
                <w:rFonts w:asciiTheme="minorEastAsia" w:hAnsiTheme="minorEastAsia" w:cs="Kosugi Maru"/>
                <w:sz w:val="18"/>
                <w:szCs w:val="18"/>
              </w:rPr>
            </w:pPr>
            <w:r w:rsidRPr="00820F1E">
              <w:rPr>
                <w:rFonts w:asciiTheme="minorEastAsia" w:hAnsiTheme="minorEastAsia" w:cs="Kosugi Maru"/>
                <w:sz w:val="18"/>
                <w:szCs w:val="18"/>
              </w:rPr>
              <w:t>表記・表現及び指導に対する工夫や配慮</w:t>
            </w:r>
          </w:p>
        </w:tc>
        <w:tc>
          <w:tcPr>
            <w:tcW w:w="3402" w:type="dxa"/>
            <w:shd w:val="clear" w:color="auto" w:fill="auto"/>
            <w:vAlign w:val="center"/>
          </w:tcPr>
          <w:p w:rsidR="00437531" w:rsidRPr="00437531"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＊学習意欲を高めるための配慮がなされているか。</w:t>
            </w:r>
          </w:p>
          <w:p w:rsidR="00437531" w:rsidRPr="00437531"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＊用語・記号の取り上げ方や記述の仕方は適切か。</w:t>
            </w:r>
          </w:p>
          <w:p w:rsidR="00437531" w:rsidRPr="00437531"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＊生徒の自学自習への配慮や工夫がなされているか。</w:t>
            </w:r>
          </w:p>
          <w:p w:rsidR="00D56DD9" w:rsidRPr="00820F1E"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＊指導書や周辺教材での工夫や配慮がなされているか。</w:t>
            </w:r>
          </w:p>
        </w:tc>
        <w:tc>
          <w:tcPr>
            <w:tcW w:w="9643" w:type="dxa"/>
            <w:shd w:val="clear" w:color="auto" w:fill="auto"/>
            <w:vAlign w:val="center"/>
          </w:tcPr>
          <w:p w:rsidR="00437531" w:rsidRPr="00437531"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古文編・漢文編ともに，学習内容と関連づけて古典への理解を深めるコラム「古文の窓」「漢文の窓」が置かれている。また古文編には「古典芸能への誘い」も採録されている。更に，資料性の高い写真・図版が適切に掲載されている。特に巻頭・巻末のカラー図版は資料性が高く，生徒の古典学習に対する意欲が高められるように工夫されている。</w:t>
            </w:r>
          </w:p>
          <w:p w:rsidR="00437531" w:rsidRPr="00437531"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○用語・記号は統一されており，記述の仕方も適切である。</w:t>
            </w:r>
          </w:p>
          <w:p w:rsidR="00437531" w:rsidRPr="00437531"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○巻末には「古文重要語句索引」「漢文句法・重要語のまとめ」などの附録が用意されており，生徒の自学自習に役立てることができる。</w:t>
            </w:r>
          </w:p>
          <w:p w:rsidR="00E7123D" w:rsidRPr="00820F1E"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○指導書や周辺教材などが充実しており，指導しやすく学習しやすい教科書である。</w:t>
            </w:r>
          </w:p>
        </w:tc>
      </w:tr>
      <w:tr w:rsidR="00D56DD9" w:rsidRPr="00820F1E">
        <w:tc>
          <w:tcPr>
            <w:tcW w:w="397" w:type="dxa"/>
            <w:shd w:val="clear" w:color="auto" w:fill="auto"/>
            <w:vAlign w:val="center"/>
          </w:tcPr>
          <w:p w:rsidR="00D56DD9" w:rsidRPr="00820F1E" w:rsidRDefault="00692DFA">
            <w:pPr>
              <w:jc w:val="center"/>
              <w:rPr>
                <w:rFonts w:asciiTheme="minorEastAsia" w:hAnsiTheme="minorEastAsia" w:cs="Kosugi Maru"/>
                <w:b/>
              </w:rPr>
            </w:pPr>
            <w:r w:rsidRPr="00820F1E">
              <w:rPr>
                <w:rFonts w:asciiTheme="minorEastAsia" w:hAnsiTheme="minorEastAsia" w:cs="Kosugi Maru"/>
                <w:b/>
              </w:rPr>
              <w:t>4</w:t>
            </w:r>
          </w:p>
        </w:tc>
        <w:tc>
          <w:tcPr>
            <w:tcW w:w="1979" w:type="dxa"/>
            <w:shd w:val="clear" w:color="auto" w:fill="auto"/>
            <w:vAlign w:val="center"/>
          </w:tcPr>
          <w:p w:rsidR="00D56DD9" w:rsidRPr="00820F1E" w:rsidRDefault="00692DFA">
            <w:pPr>
              <w:spacing w:line="260" w:lineRule="auto"/>
              <w:rPr>
                <w:rFonts w:asciiTheme="minorEastAsia" w:hAnsiTheme="minorEastAsia" w:cs="Kosugi Maru"/>
                <w:sz w:val="18"/>
                <w:szCs w:val="18"/>
              </w:rPr>
            </w:pPr>
            <w:r w:rsidRPr="00820F1E">
              <w:rPr>
                <w:rFonts w:asciiTheme="minorEastAsia" w:hAnsiTheme="minorEastAsia" w:cs="Kosugi Maru"/>
                <w:sz w:val="18"/>
                <w:szCs w:val="18"/>
              </w:rPr>
              <w:t>印刷・造本上の配慮</w:t>
            </w:r>
          </w:p>
        </w:tc>
        <w:tc>
          <w:tcPr>
            <w:tcW w:w="3402" w:type="dxa"/>
            <w:shd w:val="clear" w:color="auto" w:fill="auto"/>
            <w:vAlign w:val="center"/>
          </w:tcPr>
          <w:p w:rsidR="00437531" w:rsidRPr="00437531"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＊印刷の鮮明さ，活字の大きさ，行間，製本などは適切か。</w:t>
            </w:r>
          </w:p>
          <w:p w:rsidR="00D56DD9" w:rsidRPr="00820F1E"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＊環境保全や生徒の多様な特性に配慮がなされているか。</w:t>
            </w:r>
          </w:p>
        </w:tc>
        <w:tc>
          <w:tcPr>
            <w:tcW w:w="9643" w:type="dxa"/>
            <w:shd w:val="clear" w:color="auto" w:fill="auto"/>
            <w:vAlign w:val="center"/>
          </w:tcPr>
          <w:p w:rsidR="00437531" w:rsidRPr="00437531"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○活字は鮮明で美しく，文字の大きさ，行間も適切で読みやすい。写真，挿し絵も鮮明で効果的である。</w:t>
            </w:r>
          </w:p>
          <w:p w:rsidR="00437531" w:rsidRPr="00437531"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○製本は堅牢で，軽量な紙が使用されており，生徒の負担に配慮されている。</w:t>
            </w:r>
          </w:p>
          <w:p w:rsidR="00437531" w:rsidRPr="00437531"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○図の色使いなどは，色覚特性への配慮を含むユニバーサルデザインとなっており，全ページにわたって配色が工夫されており，見やすい紙面になっている。</w:t>
            </w:r>
          </w:p>
          <w:p w:rsidR="00D56DD9" w:rsidRPr="00820F1E"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○本文の用紙には再生紙と植物油インキが使用されており，地球環境や資源に及ぼす影響も考慮されている。</w:t>
            </w:r>
          </w:p>
        </w:tc>
      </w:tr>
      <w:tr w:rsidR="00D56DD9" w:rsidRPr="00820F1E">
        <w:tc>
          <w:tcPr>
            <w:tcW w:w="397" w:type="dxa"/>
            <w:shd w:val="clear" w:color="auto" w:fill="auto"/>
            <w:vAlign w:val="center"/>
          </w:tcPr>
          <w:p w:rsidR="00D56DD9" w:rsidRPr="00820F1E" w:rsidRDefault="00692DFA">
            <w:pPr>
              <w:jc w:val="center"/>
              <w:rPr>
                <w:rFonts w:asciiTheme="minorEastAsia" w:hAnsiTheme="minorEastAsia" w:cs="Kosugi Maru"/>
                <w:b/>
              </w:rPr>
            </w:pPr>
            <w:r w:rsidRPr="00820F1E">
              <w:rPr>
                <w:rFonts w:asciiTheme="minorEastAsia" w:hAnsiTheme="minorEastAsia" w:cs="Kosugi Maru"/>
                <w:b/>
              </w:rPr>
              <w:t>5</w:t>
            </w:r>
          </w:p>
        </w:tc>
        <w:tc>
          <w:tcPr>
            <w:tcW w:w="1979" w:type="dxa"/>
            <w:shd w:val="clear" w:color="auto" w:fill="auto"/>
            <w:vAlign w:val="center"/>
          </w:tcPr>
          <w:p w:rsidR="00D56DD9" w:rsidRPr="00820F1E" w:rsidRDefault="00692DFA">
            <w:pPr>
              <w:spacing w:line="260" w:lineRule="auto"/>
              <w:rPr>
                <w:rFonts w:asciiTheme="minorEastAsia" w:hAnsiTheme="minorEastAsia" w:cs="Kosugi Maru"/>
                <w:sz w:val="18"/>
                <w:szCs w:val="18"/>
              </w:rPr>
            </w:pPr>
            <w:r w:rsidRPr="00820F1E">
              <w:rPr>
                <w:rFonts w:asciiTheme="minorEastAsia" w:hAnsiTheme="minorEastAsia" w:cs="Kosugi Maru"/>
                <w:sz w:val="18"/>
                <w:szCs w:val="18"/>
              </w:rPr>
              <w:t>総合所見</w:t>
            </w:r>
          </w:p>
        </w:tc>
        <w:tc>
          <w:tcPr>
            <w:tcW w:w="3402" w:type="dxa"/>
            <w:shd w:val="clear" w:color="auto" w:fill="auto"/>
            <w:vAlign w:val="center"/>
          </w:tcPr>
          <w:p w:rsidR="00D56DD9" w:rsidRPr="00820F1E" w:rsidRDefault="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＊上記観点から見た，全体的・総合的な当教科書の特徴</w:t>
            </w:r>
          </w:p>
        </w:tc>
        <w:tc>
          <w:tcPr>
            <w:tcW w:w="9643" w:type="dxa"/>
            <w:shd w:val="clear" w:color="auto" w:fill="auto"/>
            <w:vAlign w:val="center"/>
          </w:tcPr>
          <w:p w:rsidR="00D56DD9" w:rsidRPr="00820F1E" w:rsidRDefault="00437531" w:rsidP="00820F1E">
            <w:pPr>
              <w:ind w:left="180" w:hangingChars="100" w:hanging="180"/>
              <w:rPr>
                <w:rFonts w:asciiTheme="minorEastAsia" w:hAnsiTheme="minorEastAsia" w:cs="Kosugi Maru"/>
                <w:sz w:val="18"/>
                <w:szCs w:val="18"/>
              </w:rPr>
            </w:pPr>
            <w:r w:rsidRPr="00437531">
              <w:rPr>
                <w:rFonts w:asciiTheme="minorEastAsia" w:hAnsiTheme="minorEastAsia" w:cs="Kosugi Maru" w:hint="eastAsia"/>
                <w:sz w:val="18"/>
                <w:szCs w:val="18"/>
              </w:rPr>
              <w:t>○古文編・漢文編とも，質的に優れた教材が選択されており，分量も妥当である。また，教材の配列にもきめ細かな配慮がなされており，古典を読む能力の育成に適した教科書である。</w:t>
            </w:r>
          </w:p>
        </w:tc>
      </w:tr>
    </w:tbl>
    <w:p w:rsidR="00D56DD9" w:rsidRPr="00820F1E" w:rsidRDefault="00A23F82">
      <w:pPr>
        <w:tabs>
          <w:tab w:val="left" w:pos="8460"/>
        </w:tabs>
        <w:jc w:val="right"/>
        <w:rPr>
          <w:rFonts w:asciiTheme="minorEastAsia" w:hAnsiTheme="minorEastAsia" w:cs="Kosugi Maru"/>
        </w:rPr>
      </w:pPr>
      <w:r w:rsidRPr="00820F1E">
        <w:rPr>
          <w:rFonts w:asciiTheme="minorEastAsia" w:hAnsiTheme="minorEastAsia" w:cs="Kosugi Maru" w:hint="eastAsia"/>
          <w:sz w:val="20"/>
          <w:szCs w:val="20"/>
        </w:rPr>
        <w:t>令和</w:t>
      </w:r>
      <w:r w:rsidR="000C38E6">
        <w:rPr>
          <w:rFonts w:asciiTheme="minorEastAsia" w:hAnsiTheme="minorEastAsia" w:cs="Kosugi Maru" w:hint="eastAsia"/>
          <w:sz w:val="20"/>
          <w:szCs w:val="20"/>
        </w:rPr>
        <w:t>５</w:t>
      </w:r>
      <w:r w:rsidR="00692DFA" w:rsidRPr="00820F1E">
        <w:rPr>
          <w:rFonts w:asciiTheme="minorEastAsia" w:hAnsiTheme="minorEastAsia" w:cs="Kosugi Maru"/>
          <w:sz w:val="20"/>
          <w:szCs w:val="20"/>
        </w:rPr>
        <w:t>年度用 高等学校教科書内容解説資料</w:t>
      </w:r>
    </w:p>
    <w:sectPr w:rsidR="00D56DD9" w:rsidRPr="00820F1E">
      <w:headerReference w:type="even" r:id="rId6"/>
      <w:headerReference w:type="default" r:id="rId7"/>
      <w:footerReference w:type="even" r:id="rId8"/>
      <w:footerReference w:type="default" r:id="rId9"/>
      <w:headerReference w:type="first" r:id="rId10"/>
      <w:footerReference w:type="first" r:id="rId11"/>
      <w:pgSz w:w="16838" w:h="11906" w:orient="landscape"/>
      <w:pgMar w:top="680" w:right="720" w:bottom="68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C0A" w:rsidRDefault="00077C0A" w:rsidP="0070504A">
      <w:r>
        <w:separator/>
      </w:r>
    </w:p>
  </w:endnote>
  <w:endnote w:type="continuationSeparator" w:id="0">
    <w:p w:rsidR="00077C0A" w:rsidRDefault="00077C0A" w:rsidP="0070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osugi Maru">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DEF" w:rsidRDefault="00577DE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DEF" w:rsidRDefault="00577DE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DEF" w:rsidRDefault="00577D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C0A" w:rsidRDefault="00077C0A" w:rsidP="0070504A">
      <w:r>
        <w:separator/>
      </w:r>
    </w:p>
  </w:footnote>
  <w:footnote w:type="continuationSeparator" w:id="0">
    <w:p w:rsidR="00077C0A" w:rsidRDefault="00077C0A" w:rsidP="00705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DEF" w:rsidRDefault="00577DE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DEF" w:rsidRDefault="00577DE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DEF" w:rsidRDefault="00577DE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D9"/>
    <w:rsid w:val="00077C0A"/>
    <w:rsid w:val="000C38E6"/>
    <w:rsid w:val="00437531"/>
    <w:rsid w:val="00577DEF"/>
    <w:rsid w:val="00692DFA"/>
    <w:rsid w:val="0070504A"/>
    <w:rsid w:val="00820F1E"/>
    <w:rsid w:val="00845474"/>
    <w:rsid w:val="009827CD"/>
    <w:rsid w:val="00A23F82"/>
    <w:rsid w:val="00CD4754"/>
    <w:rsid w:val="00CE4237"/>
    <w:rsid w:val="00D068E5"/>
    <w:rsid w:val="00D56DD9"/>
    <w:rsid w:val="00E21CA4"/>
    <w:rsid w:val="00E71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28" w:type="dxa"/>
        <w:left w:w="115" w:type="dxa"/>
        <w:bottom w:w="28" w:type="dxa"/>
        <w:right w:w="115" w:type="dxa"/>
      </w:tblCellMar>
    </w:tblPr>
  </w:style>
  <w:style w:type="paragraph" w:styleId="a6">
    <w:name w:val="header"/>
    <w:basedOn w:val="a"/>
    <w:link w:val="a7"/>
    <w:uiPriority w:val="99"/>
    <w:unhideWhenUsed/>
    <w:rsid w:val="0070504A"/>
    <w:pPr>
      <w:tabs>
        <w:tab w:val="center" w:pos="4252"/>
        <w:tab w:val="right" w:pos="8504"/>
      </w:tabs>
      <w:snapToGrid w:val="0"/>
    </w:pPr>
  </w:style>
  <w:style w:type="character" w:customStyle="1" w:styleId="a7">
    <w:name w:val="ヘッダー (文字)"/>
    <w:basedOn w:val="a0"/>
    <w:link w:val="a6"/>
    <w:uiPriority w:val="99"/>
    <w:rsid w:val="0070504A"/>
  </w:style>
  <w:style w:type="paragraph" w:styleId="a8">
    <w:name w:val="footer"/>
    <w:basedOn w:val="a"/>
    <w:link w:val="a9"/>
    <w:uiPriority w:val="99"/>
    <w:unhideWhenUsed/>
    <w:rsid w:val="0070504A"/>
    <w:pPr>
      <w:tabs>
        <w:tab w:val="center" w:pos="4252"/>
        <w:tab w:val="right" w:pos="8504"/>
      </w:tabs>
      <w:snapToGrid w:val="0"/>
    </w:pPr>
  </w:style>
  <w:style w:type="character" w:customStyle="1" w:styleId="a9">
    <w:name w:val="フッター (文字)"/>
    <w:basedOn w:val="a0"/>
    <w:link w:val="a8"/>
    <w:uiPriority w:val="99"/>
    <w:rsid w:val="00705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2022-04-14T09:40:00Z</dcterms:created>
  <dcterms:modified xsi:type="dcterms:W3CDTF">2022-04-14T09:40:00Z</dcterms:modified>
</cp:coreProperties>
</file>