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BC2A24C" w:rsidR="00A8091B" w:rsidRDefault="007D26FA">
      <w:pPr>
        <w:rPr>
          <w:rFonts w:ascii="Arial" w:eastAsia="Arial Unicode MS" w:hAnsi="Arial" w:cs="Arial"/>
          <w:b/>
          <w:bCs/>
          <w:sz w:val="24"/>
          <w:szCs w:val="24"/>
        </w:rPr>
      </w:pPr>
      <w:r w:rsidRPr="007D26FA">
        <w:rPr>
          <w:rFonts w:ascii="Arial" w:eastAsia="Arial Unicode MS" w:hAnsi="Arial" w:cs="Arial"/>
          <w:b/>
          <w:bCs/>
          <w:sz w:val="24"/>
          <w:szCs w:val="24"/>
        </w:rPr>
        <w:t>Power On English Communication II Revised   CAN-DO</w:t>
      </w:r>
      <w:r w:rsidRPr="007D26FA">
        <w:rPr>
          <w:rFonts w:ascii="Arial" w:eastAsia="Arial Unicode MS" w:hAnsi="Arial" w:cs="Arial"/>
          <w:b/>
          <w:bCs/>
          <w:sz w:val="24"/>
          <w:szCs w:val="24"/>
        </w:rPr>
        <w:t>リスト</w:t>
      </w:r>
    </w:p>
    <w:p w14:paraId="5FF1AF99" w14:textId="77777777" w:rsidR="007D26FA" w:rsidRDefault="007D26FA">
      <w:pPr>
        <w:rPr>
          <w:rFonts w:ascii="BIZ UDPゴシック" w:eastAsia="BIZ UDPゴシック" w:hAnsi="BIZ UDPゴシック" w:cs="BIZ UDPゴシック" w:hint="eastAsia"/>
          <w:color w:val="00B050"/>
          <w:sz w:val="18"/>
          <w:szCs w:val="18"/>
        </w:rPr>
      </w:pPr>
    </w:p>
    <w:p w14:paraId="00000002" w14:textId="77777777" w:rsidR="00A8091B" w:rsidRDefault="00000000">
      <w:pPr>
        <w:rPr>
          <w:rFonts w:ascii="ＭＳ Ｐゴシック" w:eastAsia="ＭＳ Ｐゴシック" w:hAnsi="ＭＳ Ｐゴシック" w:cs="ＭＳ Ｐゴシック"/>
          <w:b/>
          <w:bCs/>
          <w:sz w:val="22"/>
          <w:szCs w:val="22"/>
        </w:rPr>
      </w:pPr>
      <w:r>
        <w:rPr>
          <w:rFonts w:ascii="ＭＳ Ｐゴシック" w:eastAsia="ＭＳ Ｐゴシック" w:hAnsi="ＭＳ Ｐゴシック" w:cs="ＭＳ Ｐゴシック"/>
          <w:b/>
          <w:bCs/>
          <w:sz w:val="22"/>
          <w:szCs w:val="22"/>
        </w:rPr>
        <w:t>1年間のCAN-DOリスト</w:t>
      </w:r>
    </w:p>
    <w:tbl>
      <w:tblPr>
        <w:tblStyle w:val="a5"/>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0"/>
      </w:tblGrid>
      <w:tr w:rsidR="00A8091B" w14:paraId="12F968A3" w14:textId="77777777">
        <w:tc>
          <w:tcPr>
            <w:tcW w:w="2122" w:type="dxa"/>
          </w:tcPr>
          <w:p w14:paraId="00000003" w14:textId="77777777" w:rsidR="00A8091B" w:rsidRDefault="00000000">
            <w:pPr>
              <w:rPr>
                <w:rFonts w:ascii="ＭＳ Ｐゴシック" w:eastAsia="ＭＳ Ｐゴシック" w:hAnsi="ＭＳ Ｐゴシック" w:cs="ＭＳ Ｐゴシック"/>
                <w:b/>
                <w:bCs/>
                <w:sz w:val="20"/>
                <w:szCs w:val="20"/>
              </w:rPr>
            </w:pPr>
            <w:r>
              <w:rPr>
                <w:rFonts w:ascii="ＭＳ Ｐゴシック" w:eastAsia="ＭＳ Ｐゴシック" w:hAnsi="ＭＳ Ｐゴシック" w:cs="ＭＳ Ｐゴシック"/>
                <w:b/>
                <w:bCs/>
                <w:sz w:val="20"/>
                <w:szCs w:val="20"/>
              </w:rPr>
              <w:t>聞くこと：</w:t>
            </w:r>
          </w:p>
          <w:p w14:paraId="00000004" w14:textId="77777777" w:rsidR="00A8091B" w:rsidRDefault="00A8091B">
            <w:pPr>
              <w:rPr>
                <w:rFonts w:ascii="ＭＳ Ｐゴシック" w:eastAsia="ＭＳ Ｐゴシック" w:hAnsi="ＭＳ Ｐゴシック" w:cs="ＭＳ Ｐゴシック"/>
                <w:sz w:val="20"/>
                <w:szCs w:val="20"/>
              </w:rPr>
            </w:pPr>
          </w:p>
          <w:p w14:paraId="00000005" w14:textId="77777777" w:rsidR="00A8091B" w:rsidRDefault="00A8091B">
            <w:pPr>
              <w:rPr>
                <w:rFonts w:ascii="ＭＳ Ｐゴシック" w:eastAsia="ＭＳ Ｐゴシック" w:hAnsi="ＭＳ Ｐゴシック" w:cs="ＭＳ Ｐゴシック"/>
                <w:sz w:val="20"/>
                <w:szCs w:val="20"/>
              </w:rPr>
            </w:pPr>
          </w:p>
          <w:p w14:paraId="00000006" w14:textId="77777777" w:rsidR="00A8091B" w:rsidRDefault="00A8091B">
            <w:pPr>
              <w:rPr>
                <w:rFonts w:ascii="ＭＳ Ｐゴシック" w:eastAsia="ＭＳ Ｐゴシック" w:hAnsi="ＭＳ Ｐゴシック" w:cs="ＭＳ Ｐゴシック"/>
                <w:sz w:val="20"/>
                <w:szCs w:val="20"/>
              </w:rPr>
            </w:pPr>
          </w:p>
          <w:p w14:paraId="00000007" w14:textId="77777777" w:rsidR="00A8091B" w:rsidRDefault="00A8091B">
            <w:pPr>
              <w:rPr>
                <w:rFonts w:ascii="ＭＳ Ｐゴシック" w:eastAsia="ＭＳ Ｐゴシック" w:hAnsi="ＭＳ Ｐゴシック" w:cs="ＭＳ Ｐゴシック"/>
                <w:sz w:val="20"/>
                <w:szCs w:val="20"/>
              </w:rPr>
            </w:pPr>
          </w:p>
          <w:p w14:paraId="00000008" w14:textId="77777777" w:rsidR="00A8091B" w:rsidRDefault="00000000">
            <w:pPr>
              <w:rPr>
                <w:rFonts w:ascii="ＭＳ Ｐゴシック" w:eastAsia="ＭＳ Ｐゴシック" w:hAnsi="ＭＳ Ｐゴシック" w:cs="ＭＳ Ｐゴシック"/>
                <w:b/>
                <w:bCs/>
                <w:sz w:val="20"/>
                <w:szCs w:val="20"/>
              </w:rPr>
            </w:pPr>
            <w:r>
              <w:rPr>
                <w:rFonts w:ascii="ＭＳ Ｐゴシック" w:eastAsia="ＭＳ Ｐゴシック" w:hAnsi="ＭＳ Ｐゴシック" w:cs="ＭＳ Ｐゴシック"/>
                <w:b/>
                <w:bCs/>
                <w:sz w:val="20"/>
                <w:szCs w:val="20"/>
              </w:rPr>
              <w:t>読むこと：</w:t>
            </w:r>
          </w:p>
          <w:p w14:paraId="00000009" w14:textId="77777777" w:rsidR="00A8091B" w:rsidRDefault="00A8091B">
            <w:pPr>
              <w:rPr>
                <w:rFonts w:ascii="ＭＳ Ｐゴシック" w:eastAsia="ＭＳ Ｐゴシック" w:hAnsi="ＭＳ Ｐゴシック" w:cs="ＭＳ Ｐゴシック"/>
                <w:sz w:val="20"/>
                <w:szCs w:val="20"/>
              </w:rPr>
            </w:pPr>
          </w:p>
          <w:p w14:paraId="0000000A" w14:textId="77777777" w:rsidR="00A8091B" w:rsidRDefault="00A8091B">
            <w:pPr>
              <w:rPr>
                <w:rFonts w:ascii="ＭＳ Ｐゴシック" w:eastAsia="ＭＳ Ｐゴシック" w:hAnsi="ＭＳ Ｐゴシック" w:cs="ＭＳ Ｐゴシック"/>
                <w:sz w:val="20"/>
                <w:szCs w:val="20"/>
              </w:rPr>
            </w:pPr>
          </w:p>
          <w:p w14:paraId="0000000B" w14:textId="77777777" w:rsidR="00A8091B" w:rsidRDefault="00A8091B">
            <w:pPr>
              <w:rPr>
                <w:rFonts w:ascii="ＭＳ Ｐゴシック" w:eastAsia="ＭＳ Ｐゴシック" w:hAnsi="ＭＳ Ｐゴシック" w:cs="ＭＳ Ｐゴシック"/>
                <w:sz w:val="20"/>
                <w:szCs w:val="20"/>
              </w:rPr>
            </w:pPr>
          </w:p>
          <w:p w14:paraId="0000000C" w14:textId="77777777" w:rsidR="00A8091B" w:rsidRDefault="00A8091B">
            <w:pPr>
              <w:rPr>
                <w:rFonts w:ascii="ＭＳ Ｐゴシック" w:eastAsia="ＭＳ Ｐゴシック" w:hAnsi="ＭＳ Ｐゴシック" w:cs="ＭＳ Ｐゴシック"/>
                <w:sz w:val="20"/>
                <w:szCs w:val="20"/>
              </w:rPr>
            </w:pPr>
          </w:p>
          <w:p w14:paraId="0000000D" w14:textId="77777777" w:rsidR="00A8091B" w:rsidRDefault="00000000">
            <w:pPr>
              <w:rPr>
                <w:rFonts w:ascii="ＭＳ Ｐゴシック" w:eastAsia="ＭＳ Ｐゴシック" w:hAnsi="ＭＳ Ｐゴシック" w:cs="ＭＳ Ｐゴシック"/>
                <w:b/>
                <w:bCs/>
                <w:sz w:val="20"/>
                <w:szCs w:val="20"/>
              </w:rPr>
            </w:pPr>
            <w:r>
              <w:rPr>
                <w:rFonts w:ascii="ＭＳ Ｐゴシック" w:eastAsia="ＭＳ Ｐゴシック" w:hAnsi="ＭＳ Ｐゴシック" w:cs="ＭＳ Ｐゴシック"/>
                <w:b/>
                <w:bCs/>
                <w:sz w:val="20"/>
                <w:szCs w:val="20"/>
              </w:rPr>
              <w:t>話すこと［やり取り］：</w:t>
            </w:r>
          </w:p>
          <w:p w14:paraId="0000000E" w14:textId="77777777" w:rsidR="00A8091B" w:rsidRDefault="00A8091B">
            <w:pPr>
              <w:rPr>
                <w:rFonts w:ascii="ＭＳ Ｐゴシック" w:eastAsia="ＭＳ Ｐゴシック" w:hAnsi="ＭＳ Ｐゴシック" w:cs="ＭＳ Ｐゴシック"/>
                <w:sz w:val="20"/>
                <w:szCs w:val="20"/>
              </w:rPr>
            </w:pPr>
          </w:p>
          <w:p w14:paraId="0000000F" w14:textId="77777777" w:rsidR="00A8091B" w:rsidRDefault="00A8091B">
            <w:pPr>
              <w:rPr>
                <w:rFonts w:ascii="ＭＳ Ｐゴシック" w:eastAsia="ＭＳ Ｐゴシック" w:hAnsi="ＭＳ Ｐゴシック" w:cs="ＭＳ Ｐゴシック"/>
                <w:sz w:val="20"/>
                <w:szCs w:val="20"/>
              </w:rPr>
            </w:pPr>
          </w:p>
          <w:p w14:paraId="00000010" w14:textId="77777777" w:rsidR="00A8091B" w:rsidRDefault="00A8091B">
            <w:pPr>
              <w:rPr>
                <w:rFonts w:ascii="ＭＳ Ｐゴシック" w:eastAsia="ＭＳ Ｐゴシック" w:hAnsi="ＭＳ Ｐゴシック" w:cs="ＭＳ Ｐゴシック"/>
                <w:sz w:val="20"/>
                <w:szCs w:val="20"/>
              </w:rPr>
            </w:pPr>
          </w:p>
          <w:p w14:paraId="00000011" w14:textId="77777777" w:rsidR="00A8091B" w:rsidRDefault="00A8091B">
            <w:pPr>
              <w:rPr>
                <w:rFonts w:ascii="ＭＳ Ｐゴシック" w:eastAsia="ＭＳ Ｐゴシック" w:hAnsi="ＭＳ Ｐゴシック" w:cs="ＭＳ Ｐゴシック"/>
                <w:sz w:val="20"/>
                <w:szCs w:val="20"/>
              </w:rPr>
            </w:pPr>
          </w:p>
          <w:p w14:paraId="00000012" w14:textId="77777777" w:rsidR="00A8091B" w:rsidRDefault="00000000">
            <w:pPr>
              <w:rPr>
                <w:rFonts w:ascii="ＭＳ Ｐゴシック" w:eastAsia="ＭＳ Ｐゴシック" w:hAnsi="ＭＳ Ｐゴシック" w:cs="ＭＳ Ｐゴシック"/>
                <w:b/>
                <w:bCs/>
                <w:sz w:val="20"/>
                <w:szCs w:val="20"/>
              </w:rPr>
            </w:pPr>
            <w:r>
              <w:rPr>
                <w:rFonts w:ascii="ＭＳ Ｐゴシック" w:eastAsia="ＭＳ Ｐゴシック" w:hAnsi="ＭＳ Ｐゴシック" w:cs="ＭＳ Ｐゴシック"/>
                <w:b/>
                <w:bCs/>
                <w:sz w:val="20"/>
                <w:szCs w:val="20"/>
              </w:rPr>
              <w:t>話すこと［発表］：</w:t>
            </w:r>
          </w:p>
          <w:p w14:paraId="00000013" w14:textId="77777777" w:rsidR="00A8091B" w:rsidRDefault="00A8091B">
            <w:pPr>
              <w:rPr>
                <w:rFonts w:ascii="ＭＳ Ｐゴシック" w:eastAsia="ＭＳ Ｐゴシック" w:hAnsi="ＭＳ Ｐゴシック" w:cs="ＭＳ Ｐゴシック"/>
                <w:sz w:val="20"/>
                <w:szCs w:val="20"/>
              </w:rPr>
            </w:pPr>
          </w:p>
          <w:p w14:paraId="00000014" w14:textId="77777777" w:rsidR="00A8091B" w:rsidRDefault="00A8091B">
            <w:pPr>
              <w:rPr>
                <w:rFonts w:ascii="ＭＳ Ｐゴシック" w:eastAsia="ＭＳ Ｐゴシック" w:hAnsi="ＭＳ Ｐゴシック" w:cs="ＭＳ Ｐゴシック"/>
                <w:sz w:val="20"/>
                <w:szCs w:val="20"/>
              </w:rPr>
            </w:pPr>
          </w:p>
          <w:p w14:paraId="00000015" w14:textId="77777777" w:rsidR="00A8091B" w:rsidRDefault="00A8091B">
            <w:pPr>
              <w:rPr>
                <w:rFonts w:ascii="ＭＳ Ｐゴシック" w:eastAsia="ＭＳ Ｐゴシック" w:hAnsi="ＭＳ Ｐゴシック" w:cs="ＭＳ Ｐゴシック"/>
                <w:sz w:val="20"/>
                <w:szCs w:val="20"/>
              </w:rPr>
            </w:pPr>
          </w:p>
          <w:p w14:paraId="00000016" w14:textId="77777777" w:rsidR="00A8091B" w:rsidRDefault="00A8091B">
            <w:pPr>
              <w:rPr>
                <w:rFonts w:ascii="ＭＳ Ｐゴシック" w:eastAsia="ＭＳ Ｐゴシック" w:hAnsi="ＭＳ Ｐゴシック" w:cs="ＭＳ Ｐゴシック"/>
                <w:sz w:val="20"/>
                <w:szCs w:val="20"/>
              </w:rPr>
            </w:pPr>
          </w:p>
          <w:p w14:paraId="00000017" w14:textId="77777777" w:rsidR="00A8091B" w:rsidRDefault="00000000">
            <w:pPr>
              <w:rPr>
                <w:rFonts w:ascii="ＭＳ Ｐゴシック" w:eastAsia="ＭＳ Ｐゴシック" w:hAnsi="ＭＳ Ｐゴシック" w:cs="ＭＳ Ｐゴシック"/>
                <w:b/>
                <w:bCs/>
                <w:sz w:val="20"/>
                <w:szCs w:val="20"/>
              </w:rPr>
            </w:pPr>
            <w:r>
              <w:rPr>
                <w:rFonts w:ascii="ＭＳ Ｐゴシック" w:eastAsia="ＭＳ Ｐゴシック" w:hAnsi="ＭＳ Ｐゴシック" w:cs="ＭＳ Ｐゴシック"/>
                <w:b/>
                <w:bCs/>
                <w:sz w:val="20"/>
                <w:szCs w:val="20"/>
              </w:rPr>
              <w:t>書くこと：</w:t>
            </w:r>
          </w:p>
        </w:tc>
        <w:tc>
          <w:tcPr>
            <w:tcW w:w="11340" w:type="dxa"/>
          </w:tcPr>
          <w:p w14:paraId="00000018" w14:textId="77777777" w:rsidR="00A8091B" w:rsidRPr="007D26FA" w:rsidRDefault="00000000">
            <w:pPr>
              <w:rPr>
                <w:rFonts w:ascii="ＭＳ 明朝" w:eastAsia="ＭＳ 明朝" w:hAnsi="ＭＳ 明朝" w:cs="ＭＳ 明朝"/>
                <w:sz w:val="20"/>
                <w:szCs w:val="20"/>
              </w:rPr>
            </w:pPr>
            <w:bookmarkStart w:id="0" w:name="_heading=h.cvhniacp6ndb" w:colFirst="0" w:colLast="0"/>
            <w:bookmarkEnd w:id="0"/>
            <w:r w:rsidRPr="007D26FA">
              <w:rPr>
                <w:rFonts w:ascii="ＭＳ 明朝" w:eastAsia="ＭＳ 明朝" w:hAnsi="ＭＳ 明朝" w:cs="ＭＳ 明朝"/>
                <w:sz w:val="20"/>
                <w:szCs w:val="20"/>
              </w:rPr>
              <w:t>理解した内容について、情報の要点や考え、気持ちをまとめたり、伝えたりするために、紹介や報告、対話などの日常的な話題や社会的な話題について、話される速さや、使用する語句や文、情報量などにおいて、一定の支援を活用すれば、話された文章を聞いて、必要な情報を聞き取り、話の展開や話し手の意図を把握したり、概要や要点、詳細を目的に応じて捉えたりすることができる。</w:t>
            </w:r>
          </w:p>
          <w:p w14:paraId="00000019" w14:textId="77777777" w:rsidR="00A8091B" w:rsidRPr="007D26FA" w:rsidRDefault="00A8091B">
            <w:pPr>
              <w:rPr>
                <w:rFonts w:ascii="ＭＳ 明朝" w:eastAsia="ＭＳ 明朝" w:hAnsi="ＭＳ 明朝" w:cs="ＭＳ 明朝"/>
                <w:sz w:val="20"/>
                <w:szCs w:val="20"/>
              </w:rPr>
            </w:pPr>
          </w:p>
          <w:p w14:paraId="0000001A" w14:textId="77777777" w:rsidR="00A8091B" w:rsidRPr="007D26FA" w:rsidRDefault="00000000">
            <w:pPr>
              <w:rPr>
                <w:rFonts w:ascii="ＭＳ 明朝" w:eastAsia="ＭＳ 明朝" w:hAnsi="ＭＳ 明朝" w:cs="ＭＳ 明朝"/>
                <w:sz w:val="20"/>
                <w:szCs w:val="20"/>
              </w:rPr>
            </w:pPr>
            <w:r w:rsidRPr="007D26FA">
              <w:rPr>
                <w:rFonts w:ascii="ＭＳ 明朝" w:eastAsia="ＭＳ 明朝" w:hAnsi="ＭＳ 明朝" w:cs="ＭＳ 明朝"/>
                <w:sz w:val="20"/>
                <w:szCs w:val="20"/>
              </w:rPr>
              <w:t>理解した内容について、情報の要点や考え、気持ちをまとめたり、伝えたりするために、紹介や報告、対話などの日常的な話題や社会的な話題について、使用する語句や文、情報量などにおいて、一定の支援を活用すれば、書かれた文章から、必要な情報を読み取り、文章の展開や書き手の意図を把握したり、概要や要点、詳細を目的に応じて捉えたりすることができる。</w:t>
            </w:r>
          </w:p>
          <w:p w14:paraId="0000001B" w14:textId="77777777" w:rsidR="00A8091B" w:rsidRPr="007D26FA" w:rsidRDefault="00A8091B">
            <w:pPr>
              <w:rPr>
                <w:rFonts w:ascii="ＭＳ 明朝" w:eastAsia="ＭＳ 明朝" w:hAnsi="ＭＳ 明朝" w:cs="ＭＳ 明朝"/>
                <w:sz w:val="20"/>
                <w:szCs w:val="20"/>
              </w:rPr>
            </w:pPr>
          </w:p>
          <w:p w14:paraId="0000001C" w14:textId="77777777" w:rsidR="00A8091B" w:rsidRPr="007D26FA" w:rsidRDefault="00000000">
            <w:pPr>
              <w:rPr>
                <w:rFonts w:ascii="ＭＳ 明朝" w:eastAsia="ＭＳ 明朝" w:hAnsi="ＭＳ 明朝" w:cs="ＭＳ 明朝"/>
                <w:sz w:val="20"/>
                <w:szCs w:val="20"/>
              </w:rPr>
            </w:pPr>
            <w:r w:rsidRPr="007D26FA">
              <w:rPr>
                <w:rFonts w:ascii="ＭＳ 明朝" w:eastAsia="ＭＳ 明朝" w:hAnsi="ＭＳ 明朝" w:cs="ＭＳ 明朝"/>
                <w:sz w:val="20"/>
                <w:szCs w:val="20"/>
              </w:rPr>
              <w:t>理解した内容について、情報を説明したり、考えや気持ちを伝えたりするために、紹介や報告、対話などの日常的な話題や社会的な話題について、使用する語句や文、話の展開などにおいて、一定の支援を活用すれば、聞いたり読んだりしたことを基に、多様な語句や文を用いて、情報や考え、気持ちなどを複数の文で詳しく話して伝え合うやり取りを続けたり、複数の文で論理性に注意して詳しく話して伝え合ったりすることができる。</w:t>
            </w:r>
          </w:p>
          <w:p w14:paraId="0000001D" w14:textId="77777777" w:rsidR="00A8091B" w:rsidRPr="007D26FA" w:rsidRDefault="00A8091B">
            <w:pPr>
              <w:rPr>
                <w:rFonts w:ascii="ＭＳ 明朝" w:eastAsia="ＭＳ 明朝" w:hAnsi="ＭＳ 明朝" w:cs="ＭＳ 明朝"/>
                <w:sz w:val="20"/>
                <w:szCs w:val="20"/>
              </w:rPr>
            </w:pPr>
          </w:p>
          <w:p w14:paraId="0000001E" w14:textId="77777777" w:rsidR="00A8091B" w:rsidRPr="007D26FA" w:rsidRDefault="00000000">
            <w:pPr>
              <w:rPr>
                <w:rFonts w:ascii="ＭＳ 明朝" w:eastAsia="ＭＳ 明朝" w:hAnsi="ＭＳ 明朝" w:cs="ＭＳ 明朝"/>
                <w:sz w:val="20"/>
                <w:szCs w:val="20"/>
              </w:rPr>
            </w:pPr>
            <w:r w:rsidRPr="007D26FA">
              <w:rPr>
                <w:rFonts w:ascii="ＭＳ 明朝" w:eastAsia="ＭＳ 明朝" w:hAnsi="ＭＳ 明朝" w:cs="ＭＳ 明朝"/>
                <w:sz w:val="20"/>
                <w:szCs w:val="20"/>
              </w:rPr>
              <w:t>理解した内容について、情報を整理して説明したり、考えや気持ちを伝えたりするために、紹介や報告、対話などの日常的な話題や社会的な話題について、使用する語句や文、事前の準備などにおいて、一定の支援を活用すれば、聞いたり読んだりしたことを基に、多様な語句や文を用いて、情報や考え、気持ちなどを複数の文で論理性に注意して詳しく話して伝えることができる。</w:t>
            </w:r>
          </w:p>
          <w:p w14:paraId="0000001F" w14:textId="77777777" w:rsidR="00A8091B" w:rsidRPr="007D26FA" w:rsidRDefault="00A8091B">
            <w:pPr>
              <w:rPr>
                <w:rFonts w:ascii="ＭＳ 明朝" w:eastAsia="ＭＳ 明朝" w:hAnsi="ＭＳ 明朝" w:cs="ＭＳ 明朝"/>
                <w:sz w:val="20"/>
                <w:szCs w:val="20"/>
              </w:rPr>
            </w:pPr>
          </w:p>
          <w:p w14:paraId="00000020" w14:textId="77777777" w:rsidR="00A8091B" w:rsidRPr="007D26FA" w:rsidRDefault="00000000">
            <w:pPr>
              <w:rPr>
                <w:rFonts w:ascii="ＭＳ 明朝" w:eastAsia="ＭＳ 明朝" w:hAnsi="ＭＳ 明朝" w:cs="BIZ UDPゴシック"/>
                <w:sz w:val="20"/>
                <w:szCs w:val="20"/>
              </w:rPr>
            </w:pPr>
            <w:r w:rsidRPr="007D26FA">
              <w:rPr>
                <w:rFonts w:ascii="ＭＳ 明朝" w:eastAsia="ＭＳ 明朝" w:hAnsi="ＭＳ 明朝" w:cs="ＭＳ 明朝"/>
                <w:sz w:val="20"/>
                <w:szCs w:val="20"/>
              </w:rPr>
              <w:t>理解した内容について、情報を整理して説明したり、考えや気持ちを伝えたりするために、紹介や報告、対話などの日常的な話題や社会的な話題について、使用する語句や文、事前の準備などにおいて、一定の支援を活用すれば、聞いたり読んだりしたことを基に、多様な語句や文を用いて、情報や考え、気持ちなどを、論理性に注意して</w:t>
            </w:r>
            <w:r w:rsidRPr="007D26FA">
              <w:rPr>
                <w:rFonts w:ascii="ＭＳ 明朝" w:eastAsia="ＭＳ 明朝" w:hAnsi="ＭＳ 明朝" w:cs="Century"/>
                <w:sz w:val="20"/>
                <w:szCs w:val="20"/>
              </w:rPr>
              <w:t>複数の段落から成る文章で</w:t>
            </w:r>
            <w:r w:rsidRPr="007D26FA">
              <w:rPr>
                <w:rFonts w:ascii="ＭＳ 明朝" w:eastAsia="ＭＳ 明朝" w:hAnsi="ＭＳ 明朝" w:cs="ＭＳ 明朝"/>
                <w:sz w:val="20"/>
                <w:szCs w:val="20"/>
              </w:rPr>
              <w:t>詳しく書いて伝えることができる。</w:t>
            </w:r>
          </w:p>
        </w:tc>
      </w:tr>
    </w:tbl>
    <w:p w14:paraId="00000021" w14:textId="77777777" w:rsidR="00A8091B" w:rsidRDefault="00000000">
      <w:pPr>
        <w:rPr>
          <w:rFonts w:ascii="ＭＳ Ｐゴシック" w:eastAsia="ＭＳ Ｐゴシック" w:hAnsi="ＭＳ Ｐゴシック" w:cs="ＭＳ Ｐゴシック"/>
          <w:b/>
          <w:bCs/>
          <w:sz w:val="22"/>
          <w:szCs w:val="22"/>
        </w:rPr>
      </w:pPr>
      <w:r>
        <w:br w:type="page"/>
      </w:r>
      <w:r>
        <w:rPr>
          <w:rFonts w:ascii="ＭＳ Ｐゴシック" w:eastAsia="ＭＳ Ｐゴシック" w:hAnsi="ＭＳ Ｐゴシック" w:cs="ＭＳ Ｐゴシック"/>
          <w:b/>
          <w:bCs/>
          <w:sz w:val="22"/>
          <w:szCs w:val="22"/>
        </w:rPr>
        <w:lastRenderedPageBreak/>
        <w:t>単元別CAN-DOリスト</w:t>
      </w:r>
    </w:p>
    <w:tbl>
      <w:tblPr>
        <w:tblStyle w:val="a6"/>
        <w:tblW w:w="13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268"/>
        <w:gridCol w:w="9072"/>
      </w:tblGrid>
      <w:tr w:rsidR="00A8091B" w14:paraId="052FE433" w14:textId="77777777" w:rsidTr="006C0262">
        <w:trPr>
          <w:trHeight w:val="172"/>
          <w:tblHeader/>
        </w:trPr>
        <w:tc>
          <w:tcPr>
            <w:tcW w:w="2127" w:type="dxa"/>
            <w:tcBorders>
              <w:bottom w:val="single" w:sz="4" w:space="0" w:color="000000"/>
            </w:tcBorders>
            <w:vAlign w:val="center"/>
          </w:tcPr>
          <w:p w14:paraId="00000022" w14:textId="588C4CB0" w:rsidR="00A8091B" w:rsidRDefault="00000000">
            <w:pPr>
              <w:jc w:val="center"/>
              <w:rPr>
                <w:rFonts w:ascii="Arial" w:eastAsia="Arial" w:hAnsi="Arial" w:cs="Arial"/>
                <w:b/>
                <w:bCs/>
                <w:sz w:val="20"/>
                <w:szCs w:val="20"/>
              </w:rPr>
            </w:pPr>
            <w:sdt>
              <w:sdtPr>
                <w:tag w:val="goog_rdk_1"/>
                <w:id w:val="-553337010"/>
              </w:sdtPr>
              <w:sdtEndPr>
                <w:rPr>
                  <w:rFonts w:ascii="ＭＳ Ｐゴシック" w:eastAsia="ＭＳ Ｐゴシック" w:hAnsi="ＭＳ Ｐゴシック"/>
                </w:rPr>
              </w:sdtEndPr>
              <w:sdtContent>
                <w:r w:rsidRPr="007D26FA">
                  <w:rPr>
                    <w:rFonts w:ascii="Arial" w:eastAsia="Arial Unicode MS" w:hAnsi="Arial" w:cs="Arial"/>
                    <w:b/>
                    <w:bCs/>
                    <w:sz w:val="20"/>
                    <w:szCs w:val="20"/>
                  </w:rPr>
                  <w:t>Lesson</w:t>
                </w:r>
                <w:r w:rsidRPr="007D26FA">
                  <w:rPr>
                    <w:rFonts w:ascii="ＭＳ Ｐゴシック" w:eastAsia="ＭＳ Ｐゴシック" w:hAnsi="ＭＳ Ｐゴシック" w:cs="Arial"/>
                    <w:b/>
                    <w:bCs/>
                    <w:sz w:val="20"/>
                    <w:szCs w:val="20"/>
                  </w:rPr>
                  <w:t xml:space="preserve"> （語数）</w:t>
                </w:r>
              </w:sdtContent>
            </w:sdt>
          </w:p>
        </w:tc>
        <w:tc>
          <w:tcPr>
            <w:tcW w:w="2268" w:type="dxa"/>
            <w:tcBorders>
              <w:bottom w:val="single" w:sz="4" w:space="0" w:color="000000"/>
              <w:right w:val="single" w:sz="4" w:space="0" w:color="000000"/>
            </w:tcBorders>
            <w:vAlign w:val="center"/>
          </w:tcPr>
          <w:p w14:paraId="00000023" w14:textId="77777777" w:rsidR="00A8091B" w:rsidRDefault="00000000">
            <w:pPr>
              <w:jc w:val="center"/>
              <w:rPr>
                <w:rFonts w:ascii="Arial" w:eastAsia="Arial" w:hAnsi="Arial" w:cs="Arial"/>
                <w:b/>
                <w:bCs/>
                <w:sz w:val="20"/>
                <w:szCs w:val="20"/>
              </w:rPr>
            </w:pPr>
            <w:sdt>
              <w:sdtPr>
                <w:tag w:val="goog_rdk_2"/>
                <w:id w:val="-532298980"/>
              </w:sdtPr>
              <w:sdtContent>
                <w:r w:rsidRPr="007D26FA">
                  <w:rPr>
                    <w:rFonts w:ascii="ＭＳ Ｐゴシック" w:eastAsia="ＭＳ Ｐゴシック" w:hAnsi="ＭＳ Ｐゴシック" w:cs="Arial"/>
                    <w:b/>
                    <w:bCs/>
                    <w:sz w:val="20"/>
                    <w:szCs w:val="20"/>
                  </w:rPr>
                  <w:t>言語材料</w:t>
                </w:r>
              </w:sdtContent>
            </w:sdt>
          </w:p>
        </w:tc>
        <w:tc>
          <w:tcPr>
            <w:tcW w:w="9072" w:type="dxa"/>
            <w:tcBorders>
              <w:left w:val="single" w:sz="4" w:space="0" w:color="000000"/>
              <w:bottom w:val="single" w:sz="4" w:space="0" w:color="000000"/>
              <w:right w:val="single" w:sz="4" w:space="0" w:color="000000"/>
            </w:tcBorders>
            <w:vAlign w:val="center"/>
          </w:tcPr>
          <w:p w14:paraId="00000024" w14:textId="77777777" w:rsidR="00A8091B" w:rsidRDefault="00000000">
            <w:pPr>
              <w:jc w:val="center"/>
              <w:rPr>
                <w:rFonts w:ascii="Arial" w:eastAsia="Arial" w:hAnsi="Arial" w:cs="Arial"/>
                <w:b/>
                <w:bCs/>
                <w:sz w:val="20"/>
                <w:szCs w:val="20"/>
              </w:rPr>
            </w:pPr>
            <w:sdt>
              <w:sdtPr>
                <w:tag w:val="goog_rdk_3"/>
                <w:id w:val="1881758176"/>
              </w:sdtPr>
              <w:sdtEndPr>
                <w:rPr>
                  <w:rFonts w:ascii="Arial" w:hAnsi="Arial" w:cs="Arial"/>
                </w:rPr>
              </w:sdtEndPr>
              <w:sdtContent>
                <w:r w:rsidRPr="007D26FA">
                  <w:rPr>
                    <w:rFonts w:ascii="Arial" w:eastAsia="Arial Unicode MS" w:hAnsi="Arial" w:cs="Arial"/>
                    <w:b/>
                    <w:bCs/>
                    <w:sz w:val="20"/>
                    <w:szCs w:val="20"/>
                  </w:rPr>
                  <w:t>CAN-DO</w:t>
                </w:r>
                <w:r w:rsidRPr="007D26FA">
                  <w:rPr>
                    <w:rFonts w:ascii="ＭＳ Ｐゴシック" w:eastAsia="ＭＳ Ｐゴシック" w:hAnsi="ＭＳ Ｐゴシック" w:cs="Arial"/>
                    <w:b/>
                    <w:bCs/>
                    <w:sz w:val="20"/>
                    <w:szCs w:val="20"/>
                  </w:rPr>
                  <w:t>（思考・判断・表現）</w:t>
                </w:r>
              </w:sdtContent>
            </w:sdt>
          </w:p>
        </w:tc>
      </w:tr>
      <w:tr w:rsidR="00A8091B" w14:paraId="195227BC" w14:textId="77777777" w:rsidTr="006C0262">
        <w:tc>
          <w:tcPr>
            <w:tcW w:w="2127" w:type="dxa"/>
            <w:vMerge w:val="restart"/>
            <w:tcBorders>
              <w:top w:val="single" w:sz="4" w:space="0" w:color="000000"/>
              <w:bottom w:val="single" w:sz="4" w:space="0" w:color="auto"/>
              <w:right w:val="single" w:sz="4" w:space="0" w:color="000000"/>
            </w:tcBorders>
          </w:tcPr>
          <w:p w14:paraId="00000025" w14:textId="77777777" w:rsidR="00A8091B" w:rsidRDefault="00000000">
            <w:pPr>
              <w:jc w:val="left"/>
              <w:rPr>
                <w:rFonts w:ascii="Century" w:eastAsia="Century" w:hAnsi="Century" w:cs="Century"/>
              </w:rPr>
            </w:pPr>
            <w:r>
              <w:rPr>
                <w:rFonts w:ascii="Century" w:eastAsia="Century" w:hAnsi="Century" w:cs="Century"/>
              </w:rPr>
              <w:t>Lesson 1</w:t>
            </w:r>
          </w:p>
          <w:p w14:paraId="00000026" w14:textId="77777777" w:rsidR="00A8091B" w:rsidRDefault="00A8091B">
            <w:pPr>
              <w:jc w:val="left"/>
              <w:rPr>
                <w:rFonts w:ascii="Century" w:eastAsia="Century" w:hAnsi="Century" w:cs="Century"/>
              </w:rPr>
            </w:pPr>
          </w:p>
          <w:p w14:paraId="00000027" w14:textId="5901DE9D" w:rsidR="00A8091B" w:rsidRDefault="00000000">
            <w:pPr>
              <w:jc w:val="left"/>
              <w:rPr>
                <w:rFonts w:ascii="Century" w:eastAsia="Century" w:hAnsi="Century" w:cs="Century"/>
              </w:rPr>
            </w:pPr>
            <w:r>
              <w:rPr>
                <w:rFonts w:ascii="Century" w:eastAsia="Century" w:hAnsi="Century" w:cs="Century"/>
              </w:rPr>
              <w:t xml:space="preserve">Play </w:t>
            </w:r>
            <w:r w:rsidR="007D26FA">
              <w:rPr>
                <w:rFonts w:ascii="Century" w:eastAsiaTheme="minorEastAsia" w:hAnsi="Century" w:cs="Century" w:hint="eastAsia"/>
              </w:rPr>
              <w:t>M</w:t>
            </w:r>
            <w:r>
              <w:rPr>
                <w:rFonts w:ascii="Century" w:eastAsia="Century" w:hAnsi="Century" w:cs="Century"/>
              </w:rPr>
              <w:t xml:space="preserve">e, </w:t>
            </w:r>
          </w:p>
          <w:p w14:paraId="00000028" w14:textId="77777777" w:rsidR="00A8091B" w:rsidRDefault="00000000">
            <w:pPr>
              <w:jc w:val="left"/>
              <w:rPr>
                <w:rFonts w:ascii="Century" w:eastAsia="Century" w:hAnsi="Century" w:cs="Century"/>
              </w:rPr>
            </w:pPr>
            <w:r>
              <w:rPr>
                <w:rFonts w:ascii="Century" w:eastAsia="Century" w:hAnsi="Century" w:cs="Century"/>
              </w:rPr>
              <w:t>I’m Yours</w:t>
            </w:r>
          </w:p>
          <w:p w14:paraId="00000029" w14:textId="77777777" w:rsidR="00A8091B" w:rsidRDefault="00A8091B">
            <w:pPr>
              <w:jc w:val="left"/>
              <w:rPr>
                <w:rFonts w:ascii="Century" w:eastAsia="Century" w:hAnsi="Century" w:cs="Century"/>
              </w:rPr>
            </w:pPr>
          </w:p>
          <w:p w14:paraId="0000002A" w14:textId="77777777" w:rsidR="00A8091B" w:rsidRDefault="00000000">
            <w:pPr>
              <w:jc w:val="left"/>
              <w:rPr>
                <w:rFonts w:ascii="Century" w:eastAsia="Century" w:hAnsi="Century" w:cs="Century"/>
                <w:b/>
                <w:bCs/>
              </w:rPr>
            </w:pPr>
            <w:r>
              <w:rPr>
                <w:rFonts w:ascii="Century" w:eastAsia="Century" w:hAnsi="Century" w:cs="Century"/>
              </w:rPr>
              <w:t>(301)</w:t>
            </w:r>
          </w:p>
        </w:tc>
        <w:tc>
          <w:tcPr>
            <w:tcW w:w="2268" w:type="dxa"/>
            <w:vMerge w:val="restart"/>
            <w:tcBorders>
              <w:top w:val="single" w:sz="4" w:space="0" w:color="000000"/>
              <w:left w:val="single" w:sz="4" w:space="0" w:color="000000"/>
              <w:right w:val="single" w:sz="4" w:space="0" w:color="000000"/>
            </w:tcBorders>
          </w:tcPr>
          <w:p w14:paraId="0000002B" w14:textId="77777777" w:rsidR="00A8091B" w:rsidRDefault="00000000">
            <w:pPr>
              <w:jc w:val="left"/>
              <w:rPr>
                <w:rFonts w:ascii="Century" w:eastAsia="Century" w:hAnsi="Century" w:cs="Century"/>
                <w:sz w:val="18"/>
                <w:szCs w:val="18"/>
              </w:rPr>
            </w:pPr>
            <w:r>
              <w:rPr>
                <w:rFonts w:ascii="Century" w:eastAsia="Century" w:hAnsi="Century" w:cs="Century"/>
                <w:sz w:val="18"/>
                <w:szCs w:val="18"/>
              </w:rPr>
              <w:t>助動詞＋動詞の原形</w:t>
            </w:r>
          </w:p>
          <w:p w14:paraId="0000002C" w14:textId="77777777" w:rsidR="00A8091B" w:rsidRDefault="00A8091B">
            <w:pPr>
              <w:jc w:val="left"/>
              <w:rPr>
                <w:rFonts w:ascii="Century" w:eastAsia="Century" w:hAnsi="Century" w:cs="Century"/>
                <w:sz w:val="18"/>
                <w:szCs w:val="18"/>
              </w:rPr>
            </w:pPr>
          </w:p>
          <w:p w14:paraId="0000002D" w14:textId="77777777" w:rsidR="00A8091B" w:rsidRDefault="00000000">
            <w:pPr>
              <w:jc w:val="left"/>
              <w:rPr>
                <w:rFonts w:ascii="Century" w:eastAsia="Century" w:hAnsi="Century" w:cs="Century"/>
                <w:sz w:val="18"/>
                <w:szCs w:val="18"/>
              </w:rPr>
            </w:pPr>
            <w:r>
              <w:rPr>
                <w:rFonts w:ascii="Century" w:eastAsia="Century" w:hAnsi="Century" w:cs="Century"/>
                <w:sz w:val="18"/>
                <w:szCs w:val="18"/>
              </w:rPr>
              <w:t>受け身</w:t>
            </w:r>
          </w:p>
          <w:p w14:paraId="0000002E" w14:textId="77777777" w:rsidR="00A8091B" w:rsidRDefault="00A8091B">
            <w:pPr>
              <w:ind w:left="158" w:hanging="158"/>
              <w:jc w:val="left"/>
              <w:rPr>
                <w:rFonts w:ascii="Century" w:eastAsia="Century" w:hAnsi="Century" w:cs="Century"/>
                <w:sz w:val="18"/>
                <w:szCs w:val="18"/>
              </w:rPr>
            </w:pPr>
          </w:p>
          <w:p w14:paraId="0000002F" w14:textId="77777777" w:rsidR="00A8091B" w:rsidRDefault="00000000">
            <w:pPr>
              <w:ind w:left="19" w:firstLine="1"/>
              <w:jc w:val="left"/>
              <w:rPr>
                <w:rFonts w:ascii="Arial" w:eastAsia="Arial" w:hAnsi="Arial" w:cs="Arial"/>
                <w:sz w:val="18"/>
                <w:szCs w:val="18"/>
              </w:rPr>
            </w:pPr>
            <w:r>
              <w:rPr>
                <w:rFonts w:ascii="Century" w:eastAsia="Century" w:hAnsi="Century" w:cs="Century"/>
                <w:sz w:val="18"/>
                <w:szCs w:val="18"/>
              </w:rPr>
              <w:t>S＋V［lookなど］＋C</w:t>
            </w:r>
          </w:p>
        </w:tc>
        <w:tc>
          <w:tcPr>
            <w:tcW w:w="9072" w:type="dxa"/>
            <w:tcBorders>
              <w:top w:val="single" w:sz="4" w:space="0" w:color="000000"/>
              <w:left w:val="single" w:sz="4" w:space="0" w:color="000000"/>
              <w:bottom w:val="nil"/>
              <w:right w:val="single" w:sz="4" w:space="0" w:color="000000"/>
            </w:tcBorders>
          </w:tcPr>
          <w:p w14:paraId="00000030" w14:textId="77777777" w:rsidR="00A8091B" w:rsidRPr="007D26FA" w:rsidRDefault="00000000">
            <w:pPr>
              <w:jc w:val="left"/>
              <w:rPr>
                <w:rFonts w:asciiTheme="majorEastAsia" w:eastAsiaTheme="majorEastAsia" w:hAnsiTheme="majorEastAsia"/>
                <w:b/>
                <w:bCs/>
                <w:sz w:val="20"/>
                <w:szCs w:val="20"/>
              </w:rPr>
            </w:pPr>
            <w:r w:rsidRPr="007D26FA">
              <w:rPr>
                <w:rFonts w:asciiTheme="majorEastAsia" w:eastAsiaTheme="majorEastAsia" w:hAnsiTheme="majorEastAsia"/>
                <w:b/>
                <w:bCs/>
                <w:sz w:val="20"/>
                <w:szCs w:val="20"/>
              </w:rPr>
              <w:t>聞くこと：</w:t>
            </w:r>
          </w:p>
          <w:p w14:paraId="00000031" w14:textId="77777777" w:rsidR="00A8091B" w:rsidRPr="007D26FA" w:rsidRDefault="00000000">
            <w:pPr>
              <w:jc w:val="left"/>
              <w:rPr>
                <w:rFonts w:asciiTheme="minorEastAsia" w:eastAsiaTheme="minorEastAsia" w:hAnsiTheme="minorEastAsia"/>
                <w:sz w:val="20"/>
                <w:szCs w:val="20"/>
              </w:rPr>
            </w:pPr>
            <w:r w:rsidRPr="007D26FA">
              <w:rPr>
                <w:rFonts w:asciiTheme="minorEastAsia" w:eastAsiaTheme="minorEastAsia" w:hAnsiTheme="minorEastAsia" w:cs="ＭＳ Ｐ明朝"/>
                <w:sz w:val="20"/>
                <w:szCs w:val="20"/>
              </w:rPr>
              <w:t>ストリートピアノについて知り、情報や自分の考えをまとめるために、ストリートピアノが設置されるまでの過程について話される対話から、必要な情報を聞き取り、話し手の意図、概要や要点、詳細を整理して把握</w:t>
            </w:r>
            <w:r w:rsidRPr="007D26FA">
              <w:rPr>
                <w:rFonts w:asciiTheme="minorEastAsia" w:eastAsiaTheme="minorEastAsia" w:hAnsiTheme="minorEastAsia"/>
                <w:sz w:val="20"/>
                <w:szCs w:val="20"/>
              </w:rPr>
              <w:t>することができる。</w:t>
            </w:r>
          </w:p>
        </w:tc>
      </w:tr>
      <w:tr w:rsidR="00A8091B" w14:paraId="7FCB1B67" w14:textId="77777777" w:rsidTr="006C0262">
        <w:trPr>
          <w:trHeight w:val="79"/>
        </w:trPr>
        <w:tc>
          <w:tcPr>
            <w:tcW w:w="2127" w:type="dxa"/>
            <w:vMerge/>
            <w:tcBorders>
              <w:top w:val="single" w:sz="4" w:space="0" w:color="000000"/>
              <w:bottom w:val="single" w:sz="4" w:space="0" w:color="auto"/>
              <w:right w:val="single" w:sz="4" w:space="0" w:color="000000"/>
            </w:tcBorders>
          </w:tcPr>
          <w:p w14:paraId="00000032" w14:textId="77777777" w:rsidR="00A8091B" w:rsidRDefault="00A8091B">
            <w:pPr>
              <w:pBdr>
                <w:top w:val="nil"/>
                <w:left w:val="nil"/>
                <w:bottom w:val="nil"/>
                <w:right w:val="nil"/>
                <w:between w:val="nil"/>
              </w:pBdr>
              <w:spacing w:line="276" w:lineRule="auto"/>
              <w:jc w:val="left"/>
              <w:rPr>
                <w:sz w:val="20"/>
                <w:szCs w:val="20"/>
              </w:rPr>
            </w:pPr>
          </w:p>
        </w:tc>
        <w:tc>
          <w:tcPr>
            <w:tcW w:w="2268" w:type="dxa"/>
            <w:vMerge/>
            <w:tcBorders>
              <w:top w:val="single" w:sz="4" w:space="0" w:color="000000"/>
              <w:left w:val="single" w:sz="4" w:space="0" w:color="000000"/>
              <w:right w:val="single" w:sz="4" w:space="0" w:color="000000"/>
            </w:tcBorders>
          </w:tcPr>
          <w:p w14:paraId="00000033" w14:textId="77777777" w:rsidR="00A8091B" w:rsidRDefault="00A8091B">
            <w:pPr>
              <w:pBdr>
                <w:top w:val="nil"/>
                <w:left w:val="nil"/>
                <w:bottom w:val="nil"/>
                <w:right w:val="nil"/>
                <w:between w:val="nil"/>
              </w:pBdr>
              <w:spacing w:line="276" w:lineRule="auto"/>
              <w:jc w:val="left"/>
              <w:rPr>
                <w:sz w:val="20"/>
                <w:szCs w:val="20"/>
              </w:rPr>
            </w:pPr>
          </w:p>
        </w:tc>
        <w:tc>
          <w:tcPr>
            <w:tcW w:w="9072" w:type="dxa"/>
            <w:tcBorders>
              <w:top w:val="nil"/>
              <w:left w:val="single" w:sz="4" w:space="0" w:color="000000"/>
              <w:bottom w:val="nil"/>
              <w:right w:val="single" w:sz="4" w:space="0" w:color="000000"/>
            </w:tcBorders>
          </w:tcPr>
          <w:p w14:paraId="00000034" w14:textId="77777777" w:rsidR="00A8091B" w:rsidRPr="007D26FA" w:rsidRDefault="00000000">
            <w:pPr>
              <w:jc w:val="left"/>
              <w:rPr>
                <w:rFonts w:asciiTheme="majorEastAsia" w:eastAsiaTheme="majorEastAsia" w:hAnsiTheme="majorEastAsia"/>
                <w:b/>
                <w:bCs/>
                <w:sz w:val="20"/>
                <w:szCs w:val="20"/>
              </w:rPr>
            </w:pPr>
            <w:r w:rsidRPr="007D26FA">
              <w:rPr>
                <w:rFonts w:asciiTheme="majorEastAsia" w:eastAsiaTheme="majorEastAsia" w:hAnsiTheme="majorEastAsia"/>
                <w:b/>
                <w:bCs/>
                <w:sz w:val="20"/>
                <w:szCs w:val="20"/>
              </w:rPr>
              <w:t>読むこと：</w:t>
            </w:r>
          </w:p>
          <w:p w14:paraId="00000035" w14:textId="77777777" w:rsidR="00A8091B" w:rsidRPr="007D26FA" w:rsidRDefault="00000000">
            <w:pPr>
              <w:jc w:val="left"/>
              <w:rPr>
                <w:rFonts w:asciiTheme="minorEastAsia" w:eastAsiaTheme="minorEastAsia" w:hAnsiTheme="minorEastAsia"/>
                <w:sz w:val="20"/>
                <w:szCs w:val="20"/>
              </w:rPr>
            </w:pPr>
            <w:r w:rsidRPr="007D26FA">
              <w:rPr>
                <w:rFonts w:asciiTheme="minorEastAsia" w:eastAsiaTheme="minorEastAsia" w:hAnsiTheme="minorEastAsia" w:cs="ＭＳ Ｐ明朝"/>
                <w:sz w:val="20"/>
                <w:szCs w:val="20"/>
              </w:rPr>
              <w:t>ストリートピアノについて知り、情報や自分の考えをまとめるために、日本や海外でのストリートピアノと人々・社会とのかかわりについてのレポートから、必要な情報を読み取り、書き手の意図、概要や要点、詳細を整理して把握</w:t>
            </w:r>
            <w:r w:rsidRPr="007D26FA">
              <w:rPr>
                <w:rFonts w:asciiTheme="minorEastAsia" w:eastAsiaTheme="minorEastAsia" w:hAnsiTheme="minorEastAsia"/>
                <w:sz w:val="20"/>
                <w:szCs w:val="20"/>
              </w:rPr>
              <w:t>することができる。</w:t>
            </w:r>
          </w:p>
        </w:tc>
      </w:tr>
      <w:tr w:rsidR="00A8091B" w14:paraId="2DE742E5" w14:textId="77777777" w:rsidTr="006C0262">
        <w:tc>
          <w:tcPr>
            <w:tcW w:w="2127" w:type="dxa"/>
            <w:vMerge/>
            <w:tcBorders>
              <w:top w:val="single" w:sz="4" w:space="0" w:color="000000"/>
              <w:bottom w:val="single" w:sz="4" w:space="0" w:color="auto"/>
              <w:right w:val="single" w:sz="4" w:space="0" w:color="000000"/>
            </w:tcBorders>
          </w:tcPr>
          <w:p w14:paraId="00000036" w14:textId="77777777" w:rsidR="00A8091B" w:rsidRDefault="00A8091B">
            <w:pPr>
              <w:pBdr>
                <w:top w:val="nil"/>
                <w:left w:val="nil"/>
                <w:bottom w:val="nil"/>
                <w:right w:val="nil"/>
                <w:between w:val="nil"/>
              </w:pBdr>
              <w:spacing w:line="276" w:lineRule="auto"/>
              <w:jc w:val="left"/>
              <w:rPr>
                <w:sz w:val="20"/>
                <w:szCs w:val="20"/>
              </w:rPr>
            </w:pPr>
          </w:p>
        </w:tc>
        <w:tc>
          <w:tcPr>
            <w:tcW w:w="2268" w:type="dxa"/>
            <w:vMerge/>
            <w:tcBorders>
              <w:top w:val="single" w:sz="4" w:space="0" w:color="000000"/>
              <w:left w:val="single" w:sz="4" w:space="0" w:color="000000"/>
              <w:right w:val="single" w:sz="4" w:space="0" w:color="000000"/>
            </w:tcBorders>
          </w:tcPr>
          <w:p w14:paraId="00000037" w14:textId="77777777" w:rsidR="00A8091B" w:rsidRDefault="00A8091B">
            <w:pPr>
              <w:pBdr>
                <w:top w:val="nil"/>
                <w:left w:val="nil"/>
                <w:bottom w:val="nil"/>
                <w:right w:val="nil"/>
                <w:between w:val="nil"/>
              </w:pBdr>
              <w:spacing w:line="276" w:lineRule="auto"/>
              <w:jc w:val="left"/>
              <w:rPr>
                <w:sz w:val="20"/>
                <w:szCs w:val="20"/>
              </w:rPr>
            </w:pPr>
          </w:p>
        </w:tc>
        <w:tc>
          <w:tcPr>
            <w:tcW w:w="9072" w:type="dxa"/>
            <w:tcBorders>
              <w:top w:val="nil"/>
              <w:left w:val="single" w:sz="4" w:space="0" w:color="000000"/>
              <w:bottom w:val="nil"/>
              <w:right w:val="single" w:sz="4" w:space="0" w:color="000000"/>
            </w:tcBorders>
          </w:tcPr>
          <w:p w14:paraId="00000038" w14:textId="77777777" w:rsidR="00A8091B" w:rsidRPr="007D26FA" w:rsidRDefault="00000000">
            <w:pPr>
              <w:jc w:val="left"/>
              <w:rPr>
                <w:rFonts w:asciiTheme="majorEastAsia" w:eastAsiaTheme="majorEastAsia" w:hAnsiTheme="majorEastAsia"/>
                <w:b/>
                <w:bCs/>
                <w:sz w:val="20"/>
                <w:szCs w:val="20"/>
              </w:rPr>
            </w:pPr>
            <w:r w:rsidRPr="007D26FA">
              <w:rPr>
                <w:rFonts w:asciiTheme="majorEastAsia" w:eastAsiaTheme="majorEastAsia" w:hAnsiTheme="majorEastAsia"/>
                <w:b/>
                <w:bCs/>
                <w:sz w:val="20"/>
                <w:szCs w:val="20"/>
              </w:rPr>
              <w:t>話すこと［やり取り］：</w:t>
            </w:r>
          </w:p>
          <w:p w14:paraId="00000039" w14:textId="77777777" w:rsidR="00A8091B" w:rsidRPr="007D26FA" w:rsidRDefault="00000000">
            <w:pPr>
              <w:jc w:val="left"/>
              <w:rPr>
                <w:rFonts w:asciiTheme="minorEastAsia" w:eastAsiaTheme="minorEastAsia" w:hAnsiTheme="minorEastAsia"/>
                <w:sz w:val="20"/>
                <w:szCs w:val="20"/>
              </w:rPr>
            </w:pPr>
            <w:r w:rsidRPr="007D26FA">
              <w:rPr>
                <w:rFonts w:asciiTheme="minorEastAsia" w:eastAsiaTheme="minorEastAsia" w:hAnsiTheme="minorEastAsia" w:cs="ＭＳ Ｐ明朝"/>
                <w:sz w:val="20"/>
                <w:szCs w:val="20"/>
              </w:rPr>
              <w:t>ストリートピアノについて友達の意見を知り、自分の考えをまとめるために、ストリートピアノや人との交流について、聞いたり読んだりしたことを活用しながら、情報や自分の考えを即興で詳しく話して伝え合うやり取り</w:t>
            </w:r>
            <w:r w:rsidRPr="007D26FA">
              <w:rPr>
                <w:rFonts w:asciiTheme="minorEastAsia" w:eastAsiaTheme="minorEastAsia" w:hAnsiTheme="minorEastAsia"/>
                <w:sz w:val="20"/>
                <w:szCs w:val="20"/>
              </w:rPr>
              <w:t>を続けることができる。</w:t>
            </w:r>
          </w:p>
        </w:tc>
      </w:tr>
      <w:tr w:rsidR="00A8091B" w14:paraId="1BFE0411" w14:textId="77777777" w:rsidTr="006C0262">
        <w:tc>
          <w:tcPr>
            <w:tcW w:w="2127" w:type="dxa"/>
            <w:vMerge/>
            <w:tcBorders>
              <w:top w:val="single" w:sz="4" w:space="0" w:color="000000"/>
              <w:bottom w:val="single" w:sz="4" w:space="0" w:color="auto"/>
              <w:right w:val="single" w:sz="4" w:space="0" w:color="000000"/>
            </w:tcBorders>
          </w:tcPr>
          <w:p w14:paraId="0000003A" w14:textId="77777777" w:rsidR="00A8091B" w:rsidRDefault="00A8091B">
            <w:pPr>
              <w:pBdr>
                <w:top w:val="nil"/>
                <w:left w:val="nil"/>
                <w:bottom w:val="nil"/>
                <w:right w:val="nil"/>
                <w:between w:val="nil"/>
              </w:pBdr>
              <w:spacing w:line="276" w:lineRule="auto"/>
              <w:jc w:val="left"/>
              <w:rPr>
                <w:sz w:val="20"/>
                <w:szCs w:val="20"/>
              </w:rPr>
            </w:pPr>
          </w:p>
        </w:tc>
        <w:tc>
          <w:tcPr>
            <w:tcW w:w="2268" w:type="dxa"/>
            <w:vMerge/>
            <w:tcBorders>
              <w:top w:val="single" w:sz="4" w:space="0" w:color="000000"/>
              <w:left w:val="single" w:sz="4" w:space="0" w:color="000000"/>
              <w:right w:val="single" w:sz="4" w:space="0" w:color="000000"/>
            </w:tcBorders>
          </w:tcPr>
          <w:p w14:paraId="0000003B" w14:textId="77777777" w:rsidR="00A8091B" w:rsidRDefault="00A8091B">
            <w:pPr>
              <w:pBdr>
                <w:top w:val="nil"/>
                <w:left w:val="nil"/>
                <w:bottom w:val="nil"/>
                <w:right w:val="nil"/>
                <w:between w:val="nil"/>
              </w:pBdr>
              <w:spacing w:line="276" w:lineRule="auto"/>
              <w:jc w:val="left"/>
              <w:rPr>
                <w:sz w:val="20"/>
                <w:szCs w:val="20"/>
              </w:rPr>
            </w:pPr>
          </w:p>
        </w:tc>
        <w:tc>
          <w:tcPr>
            <w:tcW w:w="9072" w:type="dxa"/>
            <w:tcBorders>
              <w:top w:val="nil"/>
              <w:left w:val="single" w:sz="4" w:space="0" w:color="000000"/>
              <w:bottom w:val="nil"/>
              <w:right w:val="single" w:sz="4" w:space="0" w:color="000000"/>
            </w:tcBorders>
          </w:tcPr>
          <w:p w14:paraId="0000003C" w14:textId="77777777" w:rsidR="00A8091B" w:rsidRPr="007D26FA" w:rsidRDefault="00000000">
            <w:pPr>
              <w:jc w:val="left"/>
              <w:rPr>
                <w:rFonts w:asciiTheme="majorEastAsia" w:eastAsiaTheme="majorEastAsia" w:hAnsiTheme="majorEastAsia"/>
                <w:b/>
                <w:bCs/>
                <w:sz w:val="20"/>
                <w:szCs w:val="20"/>
              </w:rPr>
            </w:pPr>
            <w:r w:rsidRPr="007D26FA">
              <w:rPr>
                <w:rFonts w:asciiTheme="majorEastAsia" w:eastAsiaTheme="majorEastAsia" w:hAnsiTheme="majorEastAsia"/>
                <w:b/>
                <w:bCs/>
                <w:sz w:val="20"/>
                <w:szCs w:val="20"/>
              </w:rPr>
              <w:t>話すこと［発表］：</w:t>
            </w:r>
          </w:p>
          <w:p w14:paraId="0000003D" w14:textId="77777777" w:rsidR="00A8091B" w:rsidRPr="007D26FA" w:rsidRDefault="00000000">
            <w:pPr>
              <w:jc w:val="left"/>
              <w:rPr>
                <w:rFonts w:asciiTheme="minorEastAsia" w:eastAsiaTheme="minorEastAsia" w:hAnsiTheme="minorEastAsia"/>
                <w:sz w:val="20"/>
                <w:szCs w:val="20"/>
              </w:rPr>
            </w:pPr>
            <w:r w:rsidRPr="007D26FA">
              <w:rPr>
                <w:rFonts w:asciiTheme="minorEastAsia" w:eastAsiaTheme="minorEastAsia" w:hAnsiTheme="minorEastAsia" w:cs="ＭＳ Ｐ明朝"/>
                <w:sz w:val="20"/>
                <w:szCs w:val="20"/>
              </w:rPr>
              <w:t>ストリートピアノがどのような経緯で設置されたかについて紹介するために、聞いたり読んだりしたことを活用しながら、情報や自分の考えを理由や根拠とともに詳しく話して伝え</w:t>
            </w:r>
            <w:r w:rsidRPr="007D26FA">
              <w:rPr>
                <w:rFonts w:asciiTheme="minorEastAsia" w:eastAsiaTheme="minorEastAsia" w:hAnsiTheme="minorEastAsia"/>
                <w:sz w:val="20"/>
                <w:szCs w:val="20"/>
              </w:rPr>
              <w:t>ることができる。</w:t>
            </w:r>
          </w:p>
        </w:tc>
      </w:tr>
      <w:tr w:rsidR="00A8091B" w14:paraId="7AEEAE7A" w14:textId="77777777" w:rsidTr="006C0262">
        <w:trPr>
          <w:trHeight w:val="640"/>
        </w:trPr>
        <w:tc>
          <w:tcPr>
            <w:tcW w:w="2127" w:type="dxa"/>
            <w:vMerge/>
            <w:tcBorders>
              <w:top w:val="single" w:sz="4" w:space="0" w:color="000000"/>
              <w:bottom w:val="single" w:sz="4" w:space="0" w:color="auto"/>
              <w:right w:val="single" w:sz="4" w:space="0" w:color="000000"/>
            </w:tcBorders>
          </w:tcPr>
          <w:p w14:paraId="0000003E" w14:textId="77777777" w:rsidR="00A8091B" w:rsidRDefault="00A8091B">
            <w:pPr>
              <w:pBdr>
                <w:top w:val="nil"/>
                <w:left w:val="nil"/>
                <w:bottom w:val="nil"/>
                <w:right w:val="nil"/>
                <w:between w:val="nil"/>
              </w:pBdr>
              <w:spacing w:line="276" w:lineRule="auto"/>
              <w:jc w:val="left"/>
              <w:rPr>
                <w:sz w:val="20"/>
                <w:szCs w:val="20"/>
              </w:rPr>
            </w:pPr>
          </w:p>
        </w:tc>
        <w:tc>
          <w:tcPr>
            <w:tcW w:w="2268" w:type="dxa"/>
            <w:vMerge/>
            <w:tcBorders>
              <w:top w:val="single" w:sz="4" w:space="0" w:color="000000"/>
              <w:left w:val="single" w:sz="4" w:space="0" w:color="000000"/>
              <w:right w:val="single" w:sz="4" w:space="0" w:color="000000"/>
            </w:tcBorders>
          </w:tcPr>
          <w:p w14:paraId="0000003F" w14:textId="77777777" w:rsidR="00A8091B" w:rsidRDefault="00A8091B">
            <w:pPr>
              <w:pBdr>
                <w:top w:val="nil"/>
                <w:left w:val="nil"/>
                <w:bottom w:val="nil"/>
                <w:right w:val="nil"/>
                <w:between w:val="nil"/>
              </w:pBdr>
              <w:spacing w:line="276" w:lineRule="auto"/>
              <w:jc w:val="left"/>
              <w:rPr>
                <w:sz w:val="20"/>
                <w:szCs w:val="20"/>
              </w:rPr>
            </w:pPr>
          </w:p>
        </w:tc>
        <w:tc>
          <w:tcPr>
            <w:tcW w:w="9072" w:type="dxa"/>
            <w:tcBorders>
              <w:top w:val="nil"/>
              <w:left w:val="single" w:sz="4" w:space="0" w:color="000000"/>
              <w:bottom w:val="single" w:sz="4" w:space="0" w:color="000000"/>
              <w:right w:val="single" w:sz="4" w:space="0" w:color="000000"/>
            </w:tcBorders>
          </w:tcPr>
          <w:p w14:paraId="00000040" w14:textId="77777777" w:rsidR="00A8091B" w:rsidRPr="007D26FA" w:rsidRDefault="00000000">
            <w:pPr>
              <w:jc w:val="left"/>
              <w:rPr>
                <w:rFonts w:asciiTheme="majorEastAsia" w:eastAsiaTheme="majorEastAsia" w:hAnsiTheme="majorEastAsia"/>
                <w:b/>
                <w:bCs/>
                <w:sz w:val="20"/>
                <w:szCs w:val="20"/>
              </w:rPr>
            </w:pPr>
            <w:r w:rsidRPr="007D26FA">
              <w:rPr>
                <w:rFonts w:asciiTheme="majorEastAsia" w:eastAsiaTheme="majorEastAsia" w:hAnsiTheme="majorEastAsia"/>
                <w:b/>
                <w:bCs/>
                <w:sz w:val="20"/>
                <w:szCs w:val="20"/>
              </w:rPr>
              <w:t>書くこと：</w:t>
            </w:r>
          </w:p>
          <w:p w14:paraId="00000041" w14:textId="77777777" w:rsidR="00A8091B" w:rsidRPr="007D26FA" w:rsidRDefault="00000000">
            <w:pPr>
              <w:jc w:val="left"/>
              <w:rPr>
                <w:rFonts w:asciiTheme="minorEastAsia" w:eastAsiaTheme="minorEastAsia" w:hAnsiTheme="minorEastAsia"/>
                <w:sz w:val="20"/>
                <w:szCs w:val="20"/>
              </w:rPr>
            </w:pPr>
            <w:r w:rsidRPr="007D26FA">
              <w:rPr>
                <w:rFonts w:asciiTheme="minorEastAsia" w:eastAsiaTheme="minorEastAsia" w:hAnsiTheme="minorEastAsia" w:cs="ＭＳ Ｐ明朝"/>
                <w:sz w:val="20"/>
                <w:szCs w:val="20"/>
              </w:rPr>
              <w:t>ストリートピアノがどのような経緯で設置されたかについて紹介するために、聞いたり読んだりしたことを活用しながら、情報や自分の考えを理由や根拠とともに発表用の原稿に詳しく書いて伝え</w:t>
            </w:r>
            <w:r w:rsidRPr="007D26FA">
              <w:rPr>
                <w:rFonts w:asciiTheme="minorEastAsia" w:eastAsiaTheme="minorEastAsia" w:hAnsiTheme="minorEastAsia"/>
                <w:sz w:val="20"/>
                <w:szCs w:val="20"/>
              </w:rPr>
              <w:t>ることができる。</w:t>
            </w:r>
          </w:p>
        </w:tc>
      </w:tr>
    </w:tbl>
    <w:p w14:paraId="0000014C" w14:textId="77777777" w:rsidR="00A8091B" w:rsidRDefault="00A8091B">
      <w:pPr>
        <w:rPr>
          <w:rFonts w:ascii="Century" w:eastAsia="Century" w:hAnsi="Century" w:cs="Century"/>
          <w:sz w:val="20"/>
          <w:szCs w:val="20"/>
        </w:rPr>
      </w:pPr>
    </w:p>
    <w:sectPr w:rsidR="00A8091B">
      <w:headerReference w:type="default" r:id="rId6"/>
      <w:headerReference w:type="first" r:id="rId7"/>
      <w:pgSz w:w="16838" w:h="11906" w:orient="landscape"/>
      <w:pgMar w:top="1985" w:right="1701" w:bottom="1701" w:left="1701" w:header="851"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62339" w14:textId="77777777" w:rsidR="001A4146" w:rsidRDefault="001A4146">
      <w:r>
        <w:separator/>
      </w:r>
    </w:p>
  </w:endnote>
  <w:endnote w:type="continuationSeparator" w:id="0">
    <w:p w14:paraId="48470432" w14:textId="77777777" w:rsidR="001A4146" w:rsidRDefault="001A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FE9F8776-F158-432B-8E66-A0B3A0FC195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BIZ UDPゴシック"/>
    <w:panose1 w:val="020B0604020202020204"/>
    <w:charset w:val="80"/>
    <w:family w:val="swiss"/>
    <w:pitch w:val="variable"/>
    <w:sig w:usb0="F7FFAFFF" w:usb1="E9DFFFFF" w:usb2="0000003F" w:usb3="00000000" w:csb0="003F01F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BCC3AAB0-E5FB-48F7-BD78-AE5605B344AE}"/>
    <w:embedBold r:id="rId3" w:fontKey="{9AFBF497-61A6-4ECE-A011-687BF1DB2373}"/>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ACC014F-00E6-405E-971D-1FAA90143E3B}"/>
  </w:font>
  <w:font w:name="Cambria">
    <w:panose1 w:val="02040503050406030204"/>
    <w:charset w:val="00"/>
    <w:family w:val="roman"/>
    <w:pitch w:val="variable"/>
    <w:sig w:usb0="E00006FF" w:usb1="420024FF" w:usb2="02000000" w:usb3="00000000" w:csb0="0000019F" w:csb1="00000000"/>
    <w:embedRegular r:id="rId5" w:fontKey="{2FBC4184-7626-412C-8444-D1BF973B4C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1F57D" w14:textId="77777777" w:rsidR="001A4146" w:rsidRDefault="001A4146">
      <w:r>
        <w:separator/>
      </w:r>
    </w:p>
  </w:footnote>
  <w:footnote w:type="continuationSeparator" w:id="0">
    <w:p w14:paraId="3CECBCB6" w14:textId="77777777" w:rsidR="001A4146" w:rsidRDefault="001A4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D" w14:textId="77777777" w:rsidR="00A8091B"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p>
  <w:p w14:paraId="0000014E" w14:textId="77777777" w:rsidR="00A8091B" w:rsidRDefault="00A8091B">
    <w:pPr>
      <w:pBdr>
        <w:top w:val="nil"/>
        <w:left w:val="nil"/>
        <w:bottom w:val="nil"/>
        <w:right w:val="nil"/>
        <w:between w:val="nil"/>
      </w:pBdr>
      <w:tabs>
        <w:tab w:val="center" w:pos="4252"/>
        <w:tab w:val="right" w:pos="8504"/>
      </w:tabs>
      <w:rPr>
        <w:color w:val="000000"/>
      </w:rPr>
    </w:pPr>
  </w:p>
  <w:p w14:paraId="0000014F" w14:textId="77777777" w:rsidR="00A8091B" w:rsidRDefault="00A8091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0" w14:textId="77777777" w:rsidR="00A8091B" w:rsidRDefault="00A8091B">
    <w:pPr>
      <w:pBdr>
        <w:top w:val="nil"/>
        <w:left w:val="nil"/>
        <w:bottom w:val="nil"/>
        <w:right w:val="nil"/>
        <w:between w:val="nil"/>
      </w:pBdr>
      <w:tabs>
        <w:tab w:val="center" w:pos="4252"/>
        <w:tab w:val="right" w:pos="8504"/>
      </w:tabs>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91B"/>
    <w:rsid w:val="001A4146"/>
    <w:rsid w:val="002B7A3C"/>
    <w:rsid w:val="006C0262"/>
    <w:rsid w:val="007D26FA"/>
    <w:rsid w:val="00A8091B"/>
    <w:rsid w:val="00F03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58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480"/>
      <w:outlineLvl w:val="0"/>
    </w:pPr>
    <w:rPr>
      <w:b/>
      <w:bCs/>
      <w:color w:val="345A8A"/>
      <w:sz w:val="32"/>
      <w:szCs w:val="32"/>
    </w:rPr>
  </w:style>
  <w:style w:type="paragraph" w:styleId="2">
    <w:name w:val="heading 2"/>
    <w:basedOn w:val="a"/>
    <w:next w:val="a"/>
    <w:uiPriority w:val="9"/>
    <w:semiHidden/>
    <w:unhideWhenUsed/>
    <w:qFormat/>
    <w:pPr>
      <w:spacing w:before="200"/>
      <w:outlineLvl w:val="1"/>
    </w:pPr>
    <w:rPr>
      <w:b/>
      <w:bCs/>
      <w:color w:val="4F81BD"/>
      <w:sz w:val="26"/>
      <w:szCs w:val="26"/>
    </w:rPr>
  </w:style>
  <w:style w:type="paragraph" w:styleId="3">
    <w:name w:val="heading 3"/>
    <w:basedOn w:val="a"/>
    <w:next w:val="a"/>
    <w:uiPriority w:val="9"/>
    <w:semiHidden/>
    <w:unhideWhenUsed/>
    <w:qFormat/>
    <w:pPr>
      <w:spacing w:before="200"/>
      <w:outlineLvl w:val="2"/>
    </w:pPr>
    <w:rPr>
      <w:b/>
      <w:bCs/>
      <w:color w:val="4F81BD"/>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300"/>
    </w:pPr>
    <w:rPr>
      <w:color w:val="17365D"/>
      <w:sz w:val="52"/>
      <w:szCs w:val="52"/>
    </w:rPr>
  </w:style>
  <w:style w:type="paragraph" w:styleId="a4">
    <w:name w:val="Subtitle"/>
    <w:basedOn w:val="a"/>
    <w:next w:val="a"/>
    <w:uiPriority w:val="11"/>
    <w:qFormat/>
    <w:pPr>
      <w:pBdr>
        <w:top w:val="nil"/>
        <w:left w:val="nil"/>
        <w:bottom w:val="nil"/>
        <w:right w:val="nil"/>
        <w:between w:val="nil"/>
      </w:pBdr>
    </w:pPr>
    <w:rPr>
      <w:i/>
      <w:iCs/>
      <w:color w:val="4F81BD"/>
      <w:sz w:val="24"/>
      <w:szCs w:val="24"/>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pPr>
      <w:jc w:val="left"/>
    </w:pPr>
  </w:style>
  <w:style w:type="character" w:customStyle="1" w:styleId="a8">
    <w:name w:val="コメント文字列 (文字)"/>
    <w:basedOn w:val="a0"/>
    <w:link w:val="a7"/>
    <w:uiPriority w:val="99"/>
    <w:semiHidden/>
  </w:style>
  <w:style w:type="character" w:styleId="a9">
    <w:name w:val="annotation reference"/>
    <w:basedOn w:val="a0"/>
    <w:uiPriority w:val="99"/>
    <w:semiHidden/>
    <w:unhideWhenUsed/>
    <w:rPr>
      <w:sz w:val="18"/>
      <w:szCs w:val="18"/>
    </w:rPr>
  </w:style>
  <w:style w:type="paragraph" w:styleId="aa">
    <w:name w:val="header"/>
    <w:basedOn w:val="a"/>
    <w:link w:val="ab"/>
    <w:uiPriority w:val="99"/>
    <w:unhideWhenUsed/>
    <w:rsid w:val="006C0262"/>
    <w:pPr>
      <w:tabs>
        <w:tab w:val="center" w:pos="4252"/>
        <w:tab w:val="right" w:pos="8504"/>
      </w:tabs>
      <w:snapToGrid w:val="0"/>
    </w:pPr>
  </w:style>
  <w:style w:type="character" w:customStyle="1" w:styleId="ab">
    <w:name w:val="ヘッダー (文字)"/>
    <w:basedOn w:val="a0"/>
    <w:link w:val="aa"/>
    <w:uiPriority w:val="99"/>
    <w:rsid w:val="006C0262"/>
  </w:style>
  <w:style w:type="paragraph" w:styleId="ac">
    <w:name w:val="footer"/>
    <w:basedOn w:val="a"/>
    <w:link w:val="ad"/>
    <w:uiPriority w:val="99"/>
    <w:unhideWhenUsed/>
    <w:rsid w:val="006C0262"/>
    <w:pPr>
      <w:tabs>
        <w:tab w:val="center" w:pos="4252"/>
        <w:tab w:val="right" w:pos="8504"/>
      </w:tabs>
      <w:snapToGrid w:val="0"/>
    </w:pPr>
  </w:style>
  <w:style w:type="character" w:customStyle="1" w:styleId="ad">
    <w:name w:val="フッター (文字)"/>
    <w:basedOn w:val="a0"/>
    <w:link w:val="ac"/>
    <w:uiPriority w:val="99"/>
    <w:rsid w:val="006C0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1466</Characters>
  <Application>Microsoft Office Word</Application>
  <DocSecurity>0</DocSecurity>
  <Lines>12</Lines>
  <Paragraphs>3</Paragraphs>
  <ScaleCrop>false</ScaleCrop>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2026-06-26T10:06:00Z</dcterms:created>
  <dcterms:modified xsi:type="dcterms:W3CDTF">2026-06-26T10:06:00Z</dcterms:modified>
</cp:coreProperties>
</file>